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DF" w:rsidRPr="0048008E" w:rsidRDefault="006236DF" w:rsidP="000624D5">
      <w:pPr>
        <w:jc w:val="center"/>
        <w:outlineLvl w:val="0"/>
        <w:rPr>
          <w:sz w:val="40"/>
          <w:szCs w:val="40"/>
        </w:rPr>
      </w:pPr>
      <w:r w:rsidRPr="00E0647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0.5pt;height:51.75pt;visibility:visible">
            <v:imagedata r:id="rId6" o:title=""/>
          </v:shape>
        </w:pict>
      </w:r>
    </w:p>
    <w:p w:rsidR="006236DF" w:rsidRPr="0048008E" w:rsidRDefault="006236DF" w:rsidP="000624D5">
      <w:pPr>
        <w:jc w:val="center"/>
        <w:outlineLvl w:val="0"/>
        <w:rPr>
          <w:sz w:val="36"/>
          <w:szCs w:val="36"/>
        </w:rPr>
      </w:pPr>
      <w:r w:rsidRPr="0048008E">
        <w:rPr>
          <w:sz w:val="36"/>
          <w:szCs w:val="36"/>
        </w:rPr>
        <w:t xml:space="preserve">Контрольно-счетная палата </w:t>
      </w:r>
    </w:p>
    <w:p w:rsidR="006236DF" w:rsidRPr="0048008E" w:rsidRDefault="006236DF" w:rsidP="000624D5">
      <w:pPr>
        <w:jc w:val="center"/>
        <w:outlineLvl w:val="0"/>
        <w:rPr>
          <w:sz w:val="36"/>
          <w:szCs w:val="36"/>
        </w:rPr>
      </w:pPr>
      <w:r w:rsidRPr="0048008E">
        <w:rPr>
          <w:sz w:val="36"/>
          <w:szCs w:val="36"/>
        </w:rPr>
        <w:t>муниципального образования Сакмарский район</w:t>
      </w:r>
    </w:p>
    <w:p w:rsidR="006236DF" w:rsidRPr="0048008E" w:rsidRDefault="006236DF" w:rsidP="000624D5">
      <w:pPr>
        <w:jc w:val="center"/>
        <w:outlineLvl w:val="0"/>
        <w:rPr>
          <w:sz w:val="22"/>
          <w:szCs w:val="22"/>
        </w:rPr>
      </w:pPr>
      <w:r w:rsidRPr="0048008E">
        <w:rPr>
          <w:sz w:val="22"/>
          <w:szCs w:val="22"/>
        </w:rPr>
        <w:t>461420, Россия, Оренбургская область, Сакмарский район, с. Сакмара,</w:t>
      </w:r>
    </w:p>
    <w:p w:rsidR="006236DF" w:rsidRPr="0048008E" w:rsidRDefault="006236DF" w:rsidP="000624D5">
      <w:pPr>
        <w:pBdr>
          <w:bottom w:val="single" w:sz="12" w:space="1" w:color="auto"/>
        </w:pBdr>
        <w:jc w:val="center"/>
        <w:outlineLvl w:val="0"/>
        <w:rPr>
          <w:sz w:val="22"/>
          <w:szCs w:val="22"/>
        </w:rPr>
      </w:pPr>
      <w:r w:rsidRPr="0048008E">
        <w:rPr>
          <w:sz w:val="22"/>
          <w:szCs w:val="22"/>
        </w:rPr>
        <w:t xml:space="preserve">ул. Советская, д. 25, каб. 401, </w:t>
      </w:r>
      <w:r w:rsidRPr="0048008E">
        <w:rPr>
          <w:sz w:val="22"/>
          <w:szCs w:val="22"/>
          <w:lang w:val="en-US"/>
        </w:rPr>
        <w:t>e</w:t>
      </w:r>
      <w:r w:rsidRPr="0048008E">
        <w:rPr>
          <w:sz w:val="22"/>
          <w:szCs w:val="22"/>
        </w:rPr>
        <w:t>-</w:t>
      </w:r>
      <w:r w:rsidRPr="0048008E">
        <w:rPr>
          <w:sz w:val="22"/>
          <w:szCs w:val="22"/>
          <w:lang w:val="en-US"/>
        </w:rPr>
        <w:t>mail</w:t>
      </w:r>
      <w:r w:rsidRPr="0048008E">
        <w:rPr>
          <w:sz w:val="22"/>
          <w:szCs w:val="22"/>
        </w:rPr>
        <w:t xml:space="preserve">: </w:t>
      </w:r>
      <w:r w:rsidRPr="0048008E">
        <w:rPr>
          <w:sz w:val="22"/>
          <w:szCs w:val="22"/>
          <w:lang w:val="en-US"/>
        </w:rPr>
        <w:t>ksp</w:t>
      </w:r>
      <w:r w:rsidRPr="0048008E">
        <w:rPr>
          <w:sz w:val="22"/>
          <w:szCs w:val="22"/>
        </w:rPr>
        <w:t>@</w:t>
      </w:r>
      <w:r w:rsidRPr="0048008E">
        <w:rPr>
          <w:sz w:val="22"/>
          <w:szCs w:val="22"/>
          <w:lang w:val="en-US"/>
        </w:rPr>
        <w:t>sk</w:t>
      </w:r>
      <w:r w:rsidRPr="0048008E">
        <w:rPr>
          <w:sz w:val="22"/>
          <w:szCs w:val="22"/>
        </w:rPr>
        <w:t>.</w:t>
      </w:r>
      <w:r w:rsidRPr="0048008E">
        <w:rPr>
          <w:sz w:val="22"/>
          <w:szCs w:val="22"/>
          <w:lang w:val="en-US"/>
        </w:rPr>
        <w:t>orb</w:t>
      </w:r>
      <w:r w:rsidRPr="0048008E">
        <w:rPr>
          <w:sz w:val="22"/>
          <w:szCs w:val="22"/>
        </w:rPr>
        <w:t>.</w:t>
      </w:r>
      <w:r w:rsidRPr="0048008E">
        <w:rPr>
          <w:sz w:val="22"/>
          <w:szCs w:val="22"/>
          <w:lang w:val="en-US"/>
        </w:rPr>
        <w:t>ru</w:t>
      </w:r>
      <w:r w:rsidRPr="0048008E">
        <w:rPr>
          <w:sz w:val="22"/>
          <w:szCs w:val="22"/>
        </w:rPr>
        <w:t>, Тел (35331) 22-1-94</w:t>
      </w:r>
    </w:p>
    <w:p w:rsidR="006236DF" w:rsidRPr="0048008E" w:rsidRDefault="006236DF" w:rsidP="00DD4B91">
      <w:pPr>
        <w:jc w:val="right"/>
        <w:rPr>
          <w:sz w:val="28"/>
          <w:szCs w:val="28"/>
        </w:rPr>
      </w:pPr>
      <w:r w:rsidRPr="0048008E">
        <w:rPr>
          <w:sz w:val="28"/>
          <w:szCs w:val="28"/>
        </w:rPr>
        <w:t>13.04.2020 г.</w:t>
      </w:r>
    </w:p>
    <w:p w:rsidR="006236DF" w:rsidRPr="0048008E" w:rsidRDefault="006236DF" w:rsidP="000624D5">
      <w:pPr>
        <w:rPr>
          <w:sz w:val="28"/>
          <w:szCs w:val="28"/>
        </w:rPr>
      </w:pPr>
    </w:p>
    <w:p w:rsidR="006236DF" w:rsidRPr="0048008E" w:rsidRDefault="006236DF" w:rsidP="000624D5">
      <w:pPr>
        <w:jc w:val="center"/>
        <w:rPr>
          <w:sz w:val="28"/>
          <w:szCs w:val="28"/>
        </w:rPr>
      </w:pPr>
    </w:p>
    <w:p w:rsidR="006236DF" w:rsidRPr="0048008E" w:rsidRDefault="006236DF" w:rsidP="000624D5">
      <w:pPr>
        <w:jc w:val="center"/>
        <w:rPr>
          <w:sz w:val="28"/>
          <w:szCs w:val="28"/>
        </w:rPr>
      </w:pPr>
      <w:r w:rsidRPr="0048008E">
        <w:rPr>
          <w:sz w:val="28"/>
          <w:szCs w:val="28"/>
        </w:rPr>
        <w:t>ЗАКЛЮЧЕНИЕ</w:t>
      </w:r>
    </w:p>
    <w:p w:rsidR="006236DF" w:rsidRPr="0048008E" w:rsidRDefault="006236DF" w:rsidP="000234E1">
      <w:pPr>
        <w:ind w:firstLine="708"/>
        <w:jc w:val="center"/>
        <w:rPr>
          <w:sz w:val="28"/>
          <w:szCs w:val="28"/>
        </w:rPr>
      </w:pPr>
      <w:r w:rsidRPr="0048008E">
        <w:rPr>
          <w:sz w:val="28"/>
          <w:szCs w:val="28"/>
        </w:rPr>
        <w:t>контрольно-счетной палаты муниципального образования Сакмарский район  на внешнюю проверку годового отчета «Об исполнении бюджета администрации муниципального образования Татаро-Каргалинский сельсовет Сакмарского района Оренбургской области за 2019 год»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 Заключение Контрольно-счетной палаты муниципального образования Сакмарский район (далее - Контрольно-счетная палата) подготовлено в соответствии с требованиями Бюджетного Кодекса Российской Федерации (далее – БК РФ),</w:t>
      </w:r>
      <w:r w:rsidRPr="0048008E">
        <w:rPr>
          <w:rFonts w:ascii="Times New Roman CYR" w:hAnsi="Times New Roman CYR" w:cs="Times New Roman CYR"/>
        </w:rPr>
        <w:t xml:space="preserve"> </w:t>
      </w:r>
      <w:r w:rsidRPr="0048008E">
        <w:rPr>
          <w:rFonts w:ascii="Times New Roman CYR" w:hAnsi="Times New Roman CYR" w:cs="Times New Roman CYR"/>
          <w:sz w:val="28"/>
          <w:szCs w:val="28"/>
        </w:rPr>
        <w:t>инструкцией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РФ от 28.12.2010 №191н (далее – Инструкция №191н),</w:t>
      </w:r>
      <w:r w:rsidRPr="0048008E">
        <w:rPr>
          <w:sz w:val="28"/>
          <w:szCs w:val="28"/>
        </w:rPr>
        <w:t xml:space="preserve"> положением «О Контрольно-счетной палате муниципального образования Сакмарский район», утвержденным решением Совета депутатов муниципального образования Сакмарский район №287 от 14 июня 2019 года, соглашением о передаче Контрольно-счетной палате муниципального образования Сакмарский район полномочий Контрольно-счетного органа сельского поселения по осуществлению внешнего муниципального финансового контроля №10 от 23.12.2019 года, положением о бюджетном процессе в Татаро-Каргалинском сельсовете, планом работы Контрольно-счетной палаты на 20</w:t>
      </w:r>
      <w:r>
        <w:rPr>
          <w:sz w:val="28"/>
          <w:szCs w:val="28"/>
        </w:rPr>
        <w:t>20</w:t>
      </w:r>
      <w:r w:rsidRPr="0048008E">
        <w:rPr>
          <w:sz w:val="28"/>
          <w:szCs w:val="28"/>
        </w:rPr>
        <w:t xml:space="preserve"> год.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 В соответствии с требованиями ст. 264 БК РФ, представленный отчет содержит в себе показатели, определяющие основные характеристики бюджета, а именно данные общего объема доходов, расходов, дефицита/профицита бюджета. </w:t>
      </w:r>
    </w:p>
    <w:p w:rsidR="006236DF" w:rsidRPr="0048008E" w:rsidRDefault="006236DF" w:rsidP="000624D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8008E">
        <w:rPr>
          <w:sz w:val="28"/>
          <w:szCs w:val="28"/>
        </w:rPr>
        <w:t xml:space="preserve">          </w:t>
      </w:r>
      <w:r w:rsidRPr="0048008E">
        <w:rPr>
          <w:rFonts w:ascii="Times New Roman CYR" w:hAnsi="Times New Roman CYR" w:cs="Times New Roman CYR"/>
          <w:sz w:val="28"/>
          <w:szCs w:val="28"/>
        </w:rPr>
        <w:t xml:space="preserve">Ведение учета и отчетности осуществляется </w:t>
      </w:r>
      <w:r>
        <w:rPr>
          <w:rFonts w:ascii="Times New Roman CYR" w:hAnsi="Times New Roman CYR" w:cs="Times New Roman CYR"/>
          <w:sz w:val="28"/>
          <w:szCs w:val="28"/>
        </w:rPr>
        <w:t>главны</w:t>
      </w:r>
      <w:r w:rsidRPr="0048008E">
        <w:rPr>
          <w:rFonts w:ascii="Times New Roman CYR" w:hAnsi="Times New Roman CYR" w:cs="Times New Roman CYR"/>
          <w:sz w:val="28"/>
          <w:szCs w:val="28"/>
        </w:rPr>
        <w:t xml:space="preserve">м специалистом </w:t>
      </w:r>
      <w:r>
        <w:rPr>
          <w:rFonts w:ascii="Times New Roman CYR" w:hAnsi="Times New Roman CYR" w:cs="Times New Roman CYR"/>
          <w:sz w:val="28"/>
          <w:szCs w:val="28"/>
        </w:rPr>
        <w:t>по бухгалтерскому учету администрации</w:t>
      </w:r>
      <w:r w:rsidRPr="00A93C2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8008E">
        <w:rPr>
          <w:rFonts w:ascii="Times New Roman CYR" w:hAnsi="Times New Roman CYR" w:cs="Times New Roman CYR"/>
          <w:sz w:val="28"/>
          <w:szCs w:val="28"/>
        </w:rPr>
        <w:t xml:space="preserve">МО Татаро-Каргалинский сельсовет Сакмарского района Оренбургской области. </w:t>
      </w:r>
    </w:p>
    <w:p w:rsidR="006236DF" w:rsidRPr="0048008E" w:rsidRDefault="006236DF" w:rsidP="000624D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8008E">
        <w:rPr>
          <w:sz w:val="28"/>
          <w:szCs w:val="28"/>
        </w:rPr>
        <w:t xml:space="preserve">          Бюджетная отчетность представлена 3</w:t>
      </w:r>
      <w:r>
        <w:rPr>
          <w:sz w:val="28"/>
          <w:szCs w:val="28"/>
        </w:rPr>
        <w:t>1</w:t>
      </w:r>
      <w:r w:rsidRPr="0048008E">
        <w:rPr>
          <w:sz w:val="28"/>
          <w:szCs w:val="28"/>
        </w:rPr>
        <w:t xml:space="preserve">.03.2020г. в соответствии с пунктом 4 Инструкции №191н в </w:t>
      </w:r>
      <w:r w:rsidRPr="00A93C25">
        <w:rPr>
          <w:sz w:val="28"/>
          <w:szCs w:val="28"/>
        </w:rPr>
        <w:t>сброшюрованном пронумерованном виде с оглавлением и сопроводительным письмом.</w:t>
      </w:r>
    </w:p>
    <w:p w:rsidR="006236DF" w:rsidRPr="0048008E" w:rsidRDefault="006236DF" w:rsidP="000624D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8008E">
        <w:rPr>
          <w:sz w:val="28"/>
          <w:szCs w:val="28"/>
        </w:rPr>
        <w:t xml:space="preserve">          </w:t>
      </w:r>
      <w:r w:rsidRPr="0048008E">
        <w:rPr>
          <w:rFonts w:ascii="Times New Roman CYR" w:hAnsi="Times New Roman CYR" w:cs="Times New Roman CYR"/>
          <w:sz w:val="28"/>
          <w:szCs w:val="28"/>
        </w:rPr>
        <w:t xml:space="preserve">Бюджетная отчетность администрации МО Татаро-Каргалинский сельсовет Сакмарского района Оренбургской области (далее – Татаро-Каргалинский сельсовет) по состоянию на 1 января 2020 года, подписана руководителем и </w:t>
      </w:r>
      <w:r>
        <w:rPr>
          <w:rFonts w:ascii="Times New Roman CYR" w:hAnsi="Times New Roman CYR" w:cs="Times New Roman CYR"/>
          <w:sz w:val="28"/>
          <w:szCs w:val="28"/>
        </w:rPr>
        <w:t>главны</w:t>
      </w:r>
      <w:r w:rsidRPr="0048008E">
        <w:rPr>
          <w:rFonts w:ascii="Times New Roman CYR" w:hAnsi="Times New Roman CYR" w:cs="Times New Roman CYR"/>
          <w:sz w:val="28"/>
          <w:szCs w:val="28"/>
        </w:rPr>
        <w:t>м специалистом, составлена нарастающим итогом с начала года в рублях с точностью до второго десятичного знака после запятой, что соответствует пункту 9 Инструкции №191н.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Бюджет Татаро-Каргалинского сельсовета на 2019 год утвержден решением №125 от 27.12.2018г. «О бюджете муниципального образования Татаро-Каргалинский сельсовет Сакмарского района Оренбургской области на 2019 год и плановый период 2020 и 2021 годов». В </w:t>
      </w:r>
      <w:r>
        <w:rPr>
          <w:sz w:val="28"/>
          <w:szCs w:val="28"/>
        </w:rPr>
        <w:t xml:space="preserve">2019 году в </w:t>
      </w:r>
      <w:r w:rsidRPr="0048008E">
        <w:rPr>
          <w:sz w:val="28"/>
          <w:szCs w:val="28"/>
        </w:rPr>
        <w:t>расходную часть бюджета был</w:t>
      </w:r>
      <w:r>
        <w:rPr>
          <w:sz w:val="28"/>
          <w:szCs w:val="28"/>
        </w:rPr>
        <w:t>и</w:t>
      </w:r>
      <w:r w:rsidRPr="0048008E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ы</w:t>
      </w:r>
      <w:r w:rsidRPr="0048008E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48008E">
        <w:rPr>
          <w:sz w:val="28"/>
          <w:szCs w:val="28"/>
        </w:rPr>
        <w:t>, решени</w:t>
      </w:r>
      <w:r>
        <w:rPr>
          <w:sz w:val="28"/>
          <w:szCs w:val="28"/>
        </w:rPr>
        <w:t>я</w:t>
      </w:r>
      <w:r w:rsidRPr="0048008E">
        <w:rPr>
          <w:sz w:val="28"/>
          <w:szCs w:val="28"/>
        </w:rPr>
        <w:t xml:space="preserve"> Совета депутатов №129 от 14.02.2019г., № 130 от 19.04.2019г., №141 от 27.11.2019г.</w:t>
      </w:r>
      <w:r>
        <w:rPr>
          <w:sz w:val="28"/>
          <w:szCs w:val="28"/>
        </w:rPr>
        <w:t xml:space="preserve">, </w:t>
      </w:r>
      <w:r w:rsidRPr="0048008E">
        <w:rPr>
          <w:sz w:val="28"/>
          <w:szCs w:val="28"/>
        </w:rPr>
        <w:t xml:space="preserve">№146 от 05.12.2019г., № 150 от 27.12.2019г. Решения Совета депутатов №125, №129, №130, </w:t>
      </w:r>
      <w:r>
        <w:rPr>
          <w:sz w:val="28"/>
          <w:szCs w:val="28"/>
        </w:rPr>
        <w:t xml:space="preserve">№141, </w:t>
      </w:r>
      <w:r w:rsidRPr="0048008E">
        <w:rPr>
          <w:sz w:val="28"/>
          <w:szCs w:val="28"/>
        </w:rPr>
        <w:t>№146, №150</w:t>
      </w:r>
      <w:bookmarkStart w:id="0" w:name="_GoBack"/>
      <w:bookmarkEnd w:id="0"/>
      <w:r w:rsidRPr="0048008E">
        <w:rPr>
          <w:sz w:val="28"/>
          <w:szCs w:val="28"/>
        </w:rPr>
        <w:t xml:space="preserve"> размещены на сайте администрации поселения. </w:t>
      </w:r>
    </w:p>
    <w:p w:rsidR="006236DF" w:rsidRPr="0048008E" w:rsidRDefault="006236DF" w:rsidP="000624D5">
      <w:pPr>
        <w:ind w:firstLine="708"/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Доходная часть бюджета по данным отчета об исполнении бюджета исполнена на 98,9% к утвержденным годовым назначениям 31430,7 тыс. рублей, и составила 31075,9 тыс. рублей. Расходная часть бюджета района исполнена на 95,7% к утвержденным годовым назначениям </w:t>
      </w:r>
      <w:r w:rsidRPr="0048008E">
        <w:rPr>
          <w:color w:val="000000"/>
          <w:sz w:val="28"/>
          <w:szCs w:val="28"/>
        </w:rPr>
        <w:t xml:space="preserve">31555,4 </w:t>
      </w:r>
      <w:r w:rsidRPr="0048008E">
        <w:rPr>
          <w:sz w:val="28"/>
          <w:szCs w:val="28"/>
        </w:rPr>
        <w:t xml:space="preserve">тыс. рублей, и составила 30190,8 тыс. рублей. Профицит бюджета составил 885,1 тыс. рублей, при утвержденном дефиците 124,7 тыс. рублей.   </w:t>
      </w:r>
    </w:p>
    <w:p w:rsidR="006236DF" w:rsidRPr="0048008E" w:rsidRDefault="006236DF" w:rsidP="000624D5">
      <w:pPr>
        <w:ind w:firstLine="360"/>
        <w:jc w:val="both"/>
        <w:rPr>
          <w:sz w:val="28"/>
          <w:szCs w:val="28"/>
        </w:rPr>
      </w:pPr>
    </w:p>
    <w:p w:rsidR="006236DF" w:rsidRPr="0048008E" w:rsidRDefault="006236DF" w:rsidP="000624D5">
      <w:pPr>
        <w:rPr>
          <w:sz w:val="28"/>
          <w:szCs w:val="28"/>
        </w:rPr>
      </w:pPr>
      <w:r w:rsidRPr="0048008E">
        <w:rPr>
          <w:sz w:val="28"/>
          <w:szCs w:val="28"/>
        </w:rPr>
        <w:t>ДОХОДЫ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Отклонения исполнения доходов бюджета от утвержденных назначений в разрезе собственных доходов и безвозмездных поступлений за 2018-2019 годы содержатся в таблице: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8"/>
        <w:gridCol w:w="932"/>
        <w:gridCol w:w="921"/>
        <w:gridCol w:w="900"/>
        <w:gridCol w:w="945"/>
        <w:gridCol w:w="992"/>
        <w:gridCol w:w="850"/>
        <w:gridCol w:w="709"/>
        <w:gridCol w:w="709"/>
        <w:gridCol w:w="709"/>
        <w:gridCol w:w="708"/>
      </w:tblGrid>
      <w:tr w:rsidR="006236DF" w:rsidRPr="0048008E">
        <w:tc>
          <w:tcPr>
            <w:tcW w:w="1478" w:type="dxa"/>
            <w:vMerge w:val="restart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28"/>
                <w:szCs w:val="28"/>
              </w:rPr>
              <w:t xml:space="preserve">  </w:t>
            </w:r>
            <w:r w:rsidRPr="0048008E">
              <w:rPr>
                <w:sz w:val="18"/>
                <w:szCs w:val="18"/>
              </w:rPr>
              <w:t>Доходы</w:t>
            </w:r>
          </w:p>
        </w:tc>
        <w:tc>
          <w:tcPr>
            <w:tcW w:w="1853" w:type="dxa"/>
            <w:gridSpan w:val="2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Утверждено, тыс.руб.</w:t>
            </w:r>
          </w:p>
        </w:tc>
        <w:tc>
          <w:tcPr>
            <w:tcW w:w="1845" w:type="dxa"/>
            <w:gridSpan w:val="2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Исполнено, тыс.руб.</w:t>
            </w:r>
          </w:p>
        </w:tc>
        <w:tc>
          <w:tcPr>
            <w:tcW w:w="1842" w:type="dxa"/>
            <w:gridSpan w:val="2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Неисполненные назначения, тыс.руб.</w:t>
            </w:r>
          </w:p>
        </w:tc>
        <w:tc>
          <w:tcPr>
            <w:tcW w:w="1418" w:type="dxa"/>
            <w:gridSpan w:val="2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Исполнение, %</w:t>
            </w:r>
          </w:p>
        </w:tc>
        <w:tc>
          <w:tcPr>
            <w:tcW w:w="1417" w:type="dxa"/>
            <w:gridSpan w:val="2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Доля, %</w:t>
            </w:r>
          </w:p>
        </w:tc>
      </w:tr>
      <w:tr w:rsidR="006236DF" w:rsidRPr="0048008E">
        <w:tc>
          <w:tcPr>
            <w:tcW w:w="1478" w:type="dxa"/>
            <w:vMerge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2018</w:t>
            </w:r>
          </w:p>
        </w:tc>
        <w:tc>
          <w:tcPr>
            <w:tcW w:w="921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2019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2018</w:t>
            </w:r>
          </w:p>
        </w:tc>
        <w:tc>
          <w:tcPr>
            <w:tcW w:w="945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2019</w:t>
            </w:r>
          </w:p>
        </w:tc>
      </w:tr>
      <w:tr w:rsidR="006236DF" w:rsidRPr="0048008E">
        <w:tc>
          <w:tcPr>
            <w:tcW w:w="1478" w:type="dxa"/>
          </w:tcPr>
          <w:p w:rsidR="006236DF" w:rsidRPr="0048008E" w:rsidRDefault="006236DF" w:rsidP="00D93566">
            <w:pPr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 xml:space="preserve">Налоговые и неналоговые </w:t>
            </w:r>
          </w:p>
        </w:tc>
        <w:tc>
          <w:tcPr>
            <w:tcW w:w="932" w:type="dxa"/>
            <w:vAlign w:val="center"/>
          </w:tcPr>
          <w:p w:rsidR="006236DF" w:rsidRPr="0048008E" w:rsidRDefault="006236DF" w:rsidP="00227679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13000,5</w:t>
            </w:r>
          </w:p>
        </w:tc>
        <w:tc>
          <w:tcPr>
            <w:tcW w:w="921" w:type="dxa"/>
            <w:vAlign w:val="center"/>
          </w:tcPr>
          <w:p w:rsidR="006236DF" w:rsidRPr="0048008E" w:rsidRDefault="006236DF" w:rsidP="00227679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13514,4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227679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13082,6</w:t>
            </w:r>
          </w:p>
        </w:tc>
        <w:tc>
          <w:tcPr>
            <w:tcW w:w="945" w:type="dxa"/>
            <w:vAlign w:val="center"/>
          </w:tcPr>
          <w:p w:rsidR="006236DF" w:rsidRPr="0048008E" w:rsidRDefault="006236DF" w:rsidP="00227679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13159,6</w:t>
            </w:r>
          </w:p>
        </w:tc>
        <w:tc>
          <w:tcPr>
            <w:tcW w:w="992" w:type="dxa"/>
            <w:vAlign w:val="center"/>
          </w:tcPr>
          <w:p w:rsidR="006236DF" w:rsidRPr="0048008E" w:rsidRDefault="006236DF" w:rsidP="00227679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-82,1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227679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354,8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227679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100,6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227679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97,4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227679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67,6</w:t>
            </w:r>
          </w:p>
        </w:tc>
        <w:tc>
          <w:tcPr>
            <w:tcW w:w="708" w:type="dxa"/>
            <w:vAlign w:val="center"/>
          </w:tcPr>
          <w:p w:rsidR="006236DF" w:rsidRPr="0048008E" w:rsidRDefault="006236DF" w:rsidP="00227679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42,3</w:t>
            </w:r>
          </w:p>
        </w:tc>
      </w:tr>
      <w:tr w:rsidR="006236DF" w:rsidRPr="0048008E">
        <w:tc>
          <w:tcPr>
            <w:tcW w:w="1478" w:type="dxa"/>
          </w:tcPr>
          <w:p w:rsidR="006236DF" w:rsidRPr="0048008E" w:rsidRDefault="006236DF" w:rsidP="00D93566">
            <w:pPr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32" w:type="dxa"/>
            <w:vAlign w:val="center"/>
          </w:tcPr>
          <w:p w:rsidR="006236DF" w:rsidRPr="0048008E" w:rsidRDefault="006236DF" w:rsidP="00227679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6288,3</w:t>
            </w:r>
          </w:p>
        </w:tc>
        <w:tc>
          <w:tcPr>
            <w:tcW w:w="921" w:type="dxa"/>
            <w:vAlign w:val="center"/>
          </w:tcPr>
          <w:p w:rsidR="006236DF" w:rsidRPr="0048008E" w:rsidRDefault="006236DF" w:rsidP="00227679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17916,3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227679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6256,4</w:t>
            </w:r>
          </w:p>
        </w:tc>
        <w:tc>
          <w:tcPr>
            <w:tcW w:w="945" w:type="dxa"/>
            <w:vAlign w:val="center"/>
          </w:tcPr>
          <w:p w:rsidR="006236DF" w:rsidRPr="0048008E" w:rsidRDefault="006236DF" w:rsidP="00227679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17916,3</w:t>
            </w:r>
          </w:p>
        </w:tc>
        <w:tc>
          <w:tcPr>
            <w:tcW w:w="992" w:type="dxa"/>
            <w:vAlign w:val="center"/>
          </w:tcPr>
          <w:p w:rsidR="006236DF" w:rsidRPr="0048008E" w:rsidRDefault="006236DF" w:rsidP="00227679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31,9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227679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227679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99,5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227679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227679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32,4</w:t>
            </w:r>
          </w:p>
        </w:tc>
        <w:tc>
          <w:tcPr>
            <w:tcW w:w="708" w:type="dxa"/>
            <w:vAlign w:val="center"/>
          </w:tcPr>
          <w:p w:rsidR="006236DF" w:rsidRPr="0048008E" w:rsidRDefault="006236DF" w:rsidP="00227679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57,7</w:t>
            </w:r>
          </w:p>
        </w:tc>
      </w:tr>
      <w:tr w:rsidR="006236DF" w:rsidRPr="0048008E">
        <w:tc>
          <w:tcPr>
            <w:tcW w:w="1478" w:type="dxa"/>
          </w:tcPr>
          <w:p w:rsidR="006236DF" w:rsidRPr="0048008E" w:rsidRDefault="006236DF" w:rsidP="00D93566">
            <w:pPr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ВСЕГО</w:t>
            </w:r>
          </w:p>
        </w:tc>
        <w:tc>
          <w:tcPr>
            <w:tcW w:w="932" w:type="dxa"/>
            <w:vAlign w:val="center"/>
          </w:tcPr>
          <w:p w:rsidR="006236DF" w:rsidRPr="0048008E" w:rsidRDefault="006236DF" w:rsidP="00227679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19288,8</w:t>
            </w:r>
          </w:p>
        </w:tc>
        <w:tc>
          <w:tcPr>
            <w:tcW w:w="921" w:type="dxa"/>
            <w:vAlign w:val="center"/>
          </w:tcPr>
          <w:p w:rsidR="006236DF" w:rsidRPr="0048008E" w:rsidRDefault="006236DF" w:rsidP="00227679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31430,7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227679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19339,0</w:t>
            </w:r>
          </w:p>
        </w:tc>
        <w:tc>
          <w:tcPr>
            <w:tcW w:w="945" w:type="dxa"/>
            <w:vAlign w:val="center"/>
          </w:tcPr>
          <w:p w:rsidR="006236DF" w:rsidRPr="0048008E" w:rsidRDefault="006236DF" w:rsidP="00227679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31075,9</w:t>
            </w:r>
          </w:p>
        </w:tc>
        <w:tc>
          <w:tcPr>
            <w:tcW w:w="992" w:type="dxa"/>
            <w:vAlign w:val="center"/>
          </w:tcPr>
          <w:p w:rsidR="006236DF" w:rsidRPr="0048008E" w:rsidRDefault="006236DF" w:rsidP="00227679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-50,2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227679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354,8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227679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100,3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227679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227679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vAlign w:val="center"/>
          </w:tcPr>
          <w:p w:rsidR="006236DF" w:rsidRPr="0048008E" w:rsidRDefault="006236DF" w:rsidP="00227679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6236DF" w:rsidRPr="0048008E" w:rsidRDefault="006236DF" w:rsidP="000624D5">
      <w:pPr>
        <w:ind w:firstLine="360"/>
        <w:jc w:val="both"/>
        <w:rPr>
          <w:sz w:val="28"/>
          <w:szCs w:val="28"/>
        </w:rPr>
      </w:pPr>
    </w:p>
    <w:p w:rsidR="006236DF" w:rsidRPr="0048008E" w:rsidRDefault="006236DF" w:rsidP="000624D5">
      <w:pPr>
        <w:ind w:firstLine="360"/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В структуре доходов бюджета за 2019 год доля поступлений налоговых и неналоговых доходов составляет 42,3%, безвозмездных поступлений 57,7%.     </w:t>
      </w:r>
    </w:p>
    <w:p w:rsidR="006236DF" w:rsidRPr="0048008E" w:rsidRDefault="006236DF" w:rsidP="000624D5">
      <w:pPr>
        <w:ind w:firstLine="360"/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Отклонения исполнения доходов бюджета по налоговым и неналоговым доходам от утвержденных назначений в разрезе статей доходов за 2018-2019 годы содержатся в таблице: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8"/>
        <w:gridCol w:w="817"/>
        <w:gridCol w:w="851"/>
        <w:gridCol w:w="850"/>
        <w:gridCol w:w="851"/>
        <w:gridCol w:w="843"/>
        <w:gridCol w:w="900"/>
        <w:gridCol w:w="815"/>
        <w:gridCol w:w="709"/>
        <w:gridCol w:w="709"/>
        <w:gridCol w:w="850"/>
      </w:tblGrid>
      <w:tr w:rsidR="006236DF" w:rsidRPr="0048008E">
        <w:tc>
          <w:tcPr>
            <w:tcW w:w="1658" w:type="dxa"/>
            <w:vMerge w:val="restart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Доходы</w:t>
            </w:r>
          </w:p>
        </w:tc>
        <w:tc>
          <w:tcPr>
            <w:tcW w:w="1668" w:type="dxa"/>
            <w:gridSpan w:val="2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Утверждено, тыс.руб.</w:t>
            </w:r>
          </w:p>
        </w:tc>
        <w:tc>
          <w:tcPr>
            <w:tcW w:w="1701" w:type="dxa"/>
            <w:gridSpan w:val="2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Исполнено, тыс.руб.</w:t>
            </w:r>
          </w:p>
        </w:tc>
        <w:tc>
          <w:tcPr>
            <w:tcW w:w="1743" w:type="dxa"/>
            <w:gridSpan w:val="2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Отклонение, тыс.руб.</w:t>
            </w:r>
          </w:p>
        </w:tc>
        <w:tc>
          <w:tcPr>
            <w:tcW w:w="1524" w:type="dxa"/>
            <w:gridSpan w:val="2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Исполнение, %</w:t>
            </w:r>
          </w:p>
        </w:tc>
        <w:tc>
          <w:tcPr>
            <w:tcW w:w="1559" w:type="dxa"/>
            <w:gridSpan w:val="2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Доля, %</w:t>
            </w:r>
          </w:p>
        </w:tc>
      </w:tr>
      <w:tr w:rsidR="006236DF" w:rsidRPr="0048008E">
        <w:tc>
          <w:tcPr>
            <w:tcW w:w="1658" w:type="dxa"/>
            <w:vMerge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2019</w:t>
            </w:r>
          </w:p>
        </w:tc>
        <w:tc>
          <w:tcPr>
            <w:tcW w:w="843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2019</w:t>
            </w:r>
          </w:p>
        </w:tc>
        <w:tc>
          <w:tcPr>
            <w:tcW w:w="815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2019</w:t>
            </w:r>
          </w:p>
        </w:tc>
      </w:tr>
      <w:tr w:rsidR="006236DF" w:rsidRPr="0048008E">
        <w:tc>
          <w:tcPr>
            <w:tcW w:w="1658" w:type="dxa"/>
          </w:tcPr>
          <w:p w:rsidR="006236DF" w:rsidRPr="0048008E" w:rsidRDefault="006236DF" w:rsidP="00D93566">
            <w:pPr>
              <w:spacing w:line="192" w:lineRule="auto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НДФЛ</w:t>
            </w:r>
          </w:p>
        </w:tc>
        <w:tc>
          <w:tcPr>
            <w:tcW w:w="817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7671,5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7728,4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8210,4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7678,2</w:t>
            </w:r>
          </w:p>
        </w:tc>
        <w:tc>
          <w:tcPr>
            <w:tcW w:w="843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-538,9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50,2</w:t>
            </w:r>
          </w:p>
        </w:tc>
        <w:tc>
          <w:tcPr>
            <w:tcW w:w="815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62,8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58,3</w:t>
            </w:r>
          </w:p>
        </w:tc>
      </w:tr>
      <w:tr w:rsidR="006236DF" w:rsidRPr="0048008E">
        <w:tc>
          <w:tcPr>
            <w:tcW w:w="1658" w:type="dxa"/>
          </w:tcPr>
          <w:p w:rsidR="006236DF" w:rsidRPr="0048008E" w:rsidRDefault="006236DF" w:rsidP="00D93566">
            <w:pPr>
              <w:spacing w:line="192" w:lineRule="auto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Налоги на товары (работы, услуги)</w:t>
            </w:r>
          </w:p>
        </w:tc>
        <w:tc>
          <w:tcPr>
            <w:tcW w:w="817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1325,2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1603,2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1390,1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1612,5</w:t>
            </w:r>
          </w:p>
        </w:tc>
        <w:tc>
          <w:tcPr>
            <w:tcW w:w="843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-64,9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-9,3</w:t>
            </w:r>
          </w:p>
        </w:tc>
        <w:tc>
          <w:tcPr>
            <w:tcW w:w="815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104,9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10,6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12,2</w:t>
            </w:r>
          </w:p>
        </w:tc>
      </w:tr>
      <w:tr w:rsidR="006236DF" w:rsidRPr="0048008E">
        <w:tc>
          <w:tcPr>
            <w:tcW w:w="1658" w:type="dxa"/>
          </w:tcPr>
          <w:p w:rsidR="006236DF" w:rsidRPr="0048008E" w:rsidRDefault="006236DF" w:rsidP="00D93566">
            <w:pPr>
              <w:spacing w:line="192" w:lineRule="auto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17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459,3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182,1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459,3</w:t>
            </w:r>
          </w:p>
        </w:tc>
        <w:tc>
          <w:tcPr>
            <w:tcW w:w="843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-15,1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6236DF" w:rsidRPr="0048008E">
        <w:tc>
          <w:tcPr>
            <w:tcW w:w="1658" w:type="dxa"/>
          </w:tcPr>
          <w:p w:rsidR="006236DF" w:rsidRPr="0048008E" w:rsidRDefault="006236DF" w:rsidP="00D93566">
            <w:pPr>
              <w:spacing w:line="192" w:lineRule="auto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817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349,4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579,1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346,4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586,1</w:t>
            </w:r>
          </w:p>
        </w:tc>
        <w:tc>
          <w:tcPr>
            <w:tcW w:w="843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-7,0</w:t>
            </w:r>
          </w:p>
        </w:tc>
        <w:tc>
          <w:tcPr>
            <w:tcW w:w="815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99,1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4,5</w:t>
            </w:r>
          </w:p>
        </w:tc>
      </w:tr>
      <w:tr w:rsidR="006236DF" w:rsidRPr="0048008E">
        <w:tc>
          <w:tcPr>
            <w:tcW w:w="1658" w:type="dxa"/>
          </w:tcPr>
          <w:p w:rsidR="006236DF" w:rsidRPr="0048008E" w:rsidRDefault="006236DF" w:rsidP="00D93566">
            <w:pPr>
              <w:spacing w:line="192" w:lineRule="auto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17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3424,0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2988,0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2853,6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2666,8</w:t>
            </w:r>
          </w:p>
        </w:tc>
        <w:tc>
          <w:tcPr>
            <w:tcW w:w="843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570,4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321,2</w:t>
            </w:r>
          </w:p>
        </w:tc>
        <w:tc>
          <w:tcPr>
            <w:tcW w:w="815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83,3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89,3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21,8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20,3</w:t>
            </w:r>
          </w:p>
        </w:tc>
      </w:tr>
      <w:tr w:rsidR="006236DF" w:rsidRPr="0048008E">
        <w:tc>
          <w:tcPr>
            <w:tcW w:w="1658" w:type="dxa"/>
          </w:tcPr>
          <w:p w:rsidR="006236DF" w:rsidRPr="0048008E" w:rsidRDefault="006236DF" w:rsidP="00D93566">
            <w:pPr>
              <w:spacing w:line="192" w:lineRule="auto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7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-5,2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36DF" w:rsidRPr="0048008E">
        <w:tc>
          <w:tcPr>
            <w:tcW w:w="1658" w:type="dxa"/>
          </w:tcPr>
          <w:p w:rsidR="006236DF" w:rsidRPr="0048008E" w:rsidRDefault="006236DF" w:rsidP="00D93566">
            <w:pPr>
              <w:spacing w:line="192" w:lineRule="auto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17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38,4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29,9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19,8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30,2</w:t>
            </w:r>
          </w:p>
        </w:tc>
        <w:tc>
          <w:tcPr>
            <w:tcW w:w="843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18,6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-0,3</w:t>
            </w:r>
          </w:p>
        </w:tc>
        <w:tc>
          <w:tcPr>
            <w:tcW w:w="815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51,6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6236DF" w:rsidRPr="0048008E">
        <w:tc>
          <w:tcPr>
            <w:tcW w:w="1658" w:type="dxa"/>
          </w:tcPr>
          <w:p w:rsidR="006236DF" w:rsidRPr="0048008E" w:rsidRDefault="006236DF" w:rsidP="00D93566">
            <w:pPr>
              <w:spacing w:line="192" w:lineRule="auto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17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25,0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126,5</w:t>
            </w:r>
          </w:p>
        </w:tc>
        <w:tc>
          <w:tcPr>
            <w:tcW w:w="843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-50,0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15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в 3 раза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6236DF" w:rsidRPr="0048008E">
        <w:tc>
          <w:tcPr>
            <w:tcW w:w="1658" w:type="dxa"/>
          </w:tcPr>
          <w:p w:rsidR="006236DF" w:rsidRPr="0048008E" w:rsidRDefault="006236DF" w:rsidP="00D93566">
            <w:pPr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ВСЕГО</w:t>
            </w:r>
          </w:p>
        </w:tc>
        <w:tc>
          <w:tcPr>
            <w:tcW w:w="817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13000,5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13514,4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13082,6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13159,6</w:t>
            </w:r>
          </w:p>
        </w:tc>
        <w:tc>
          <w:tcPr>
            <w:tcW w:w="843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-82,1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354,8</w:t>
            </w:r>
          </w:p>
        </w:tc>
        <w:tc>
          <w:tcPr>
            <w:tcW w:w="815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97,4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6236DF" w:rsidRPr="0048008E" w:rsidRDefault="006236DF" w:rsidP="000624D5">
      <w:pPr>
        <w:jc w:val="both"/>
        <w:rPr>
          <w:sz w:val="28"/>
          <w:szCs w:val="28"/>
        </w:rPr>
      </w:pPr>
    </w:p>
    <w:p w:rsidR="006236DF" w:rsidRPr="0048008E" w:rsidRDefault="006236DF" w:rsidP="00AF0A54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 Основным бюджетообразующим доходным источником в 2019 году был налог на доходы физических лиц (далее - НДФЛ) с удельным весом 58,3%. Фактические поступления НДФЛ в бюджет составили 7678,2 тыс. рублей или 99,4% от уровня утвержденного плана на 2019 год. 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 Налоги на товары (работы, услуги) проще говоря, акцизы поступили в бюджет в размере 1612,5 тыс. рублей, план исполнен на 100,6%.</w:t>
      </w:r>
    </w:p>
    <w:p w:rsidR="006236DF" w:rsidRPr="0048008E" w:rsidRDefault="006236DF" w:rsidP="000624D5">
      <w:pPr>
        <w:pStyle w:val="BodyText"/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 Годовой план по налогам на совокупный доход (единый сельскохозяйственный налог) исполнен на 100% (459,3 тыс. рублей).</w:t>
      </w:r>
    </w:p>
    <w:p w:rsidR="006236DF" w:rsidRPr="0048008E" w:rsidRDefault="006236DF" w:rsidP="000624D5">
      <w:pPr>
        <w:pStyle w:val="BodyText"/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 По налогу на имущество план исполнен на 101,2% (586,1 тыс. рублей).</w:t>
      </w:r>
    </w:p>
    <w:p w:rsidR="006236DF" w:rsidRPr="0048008E" w:rsidRDefault="006236DF" w:rsidP="00AF0A54">
      <w:pPr>
        <w:pStyle w:val="BodyText"/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 Годовой план по земельному налогу не выполнен, исполнение составило на 89,3% или 2666,8 тыс. рублей.</w:t>
      </w:r>
    </w:p>
    <w:p w:rsidR="006236DF" w:rsidRPr="0048008E" w:rsidRDefault="006236DF" w:rsidP="000624D5">
      <w:pPr>
        <w:pStyle w:val="BodyText"/>
        <w:jc w:val="both"/>
        <w:rPr>
          <w:sz w:val="28"/>
          <w:szCs w:val="28"/>
        </w:rPr>
      </w:pPr>
      <w:r w:rsidRPr="0048008E">
        <w:rPr>
          <w:sz w:val="22"/>
          <w:szCs w:val="22"/>
        </w:rPr>
        <w:t xml:space="preserve">             </w:t>
      </w:r>
      <w:r w:rsidRPr="0048008E">
        <w:rPr>
          <w:sz w:val="28"/>
          <w:szCs w:val="28"/>
        </w:rPr>
        <w:t xml:space="preserve">Государственная пошлина за совершение нотариальных действий план исполнен на 101% (30,2 тыс. рублей). </w:t>
      </w:r>
    </w:p>
    <w:p w:rsidR="006236DF" w:rsidRPr="0048008E" w:rsidRDefault="006236DF" w:rsidP="000624D5">
      <w:pPr>
        <w:pStyle w:val="BodyText"/>
        <w:jc w:val="both"/>
        <w:rPr>
          <w:sz w:val="28"/>
          <w:szCs w:val="28"/>
        </w:rPr>
      </w:pPr>
      <w:r w:rsidRPr="0048008E">
        <w:rPr>
          <w:sz w:val="28"/>
          <w:szCs w:val="28"/>
        </w:rPr>
        <w:tab/>
        <w:t>Штрафы, санкции, возмещение ущерба запланировано 126,5 тыс. рублей исполнение составило 100%.</w:t>
      </w:r>
    </w:p>
    <w:p w:rsidR="006236DF" w:rsidRPr="0048008E" w:rsidRDefault="006236DF" w:rsidP="000624D5">
      <w:pPr>
        <w:pStyle w:val="BodyText"/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      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Безвозмездные поступления от других бюджетов бюджетной системы РФ (дотации, субсидии, субвенции, иные межбюджетные трансферты), представлены в таблице: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900"/>
        <w:gridCol w:w="900"/>
        <w:gridCol w:w="900"/>
        <w:gridCol w:w="900"/>
        <w:gridCol w:w="720"/>
        <w:gridCol w:w="937"/>
        <w:gridCol w:w="708"/>
        <w:gridCol w:w="851"/>
        <w:gridCol w:w="709"/>
        <w:gridCol w:w="708"/>
      </w:tblGrid>
      <w:tr w:rsidR="006236DF" w:rsidRPr="0048008E">
        <w:tc>
          <w:tcPr>
            <w:tcW w:w="1620" w:type="dxa"/>
            <w:vMerge w:val="restart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Доходы</w:t>
            </w:r>
          </w:p>
        </w:tc>
        <w:tc>
          <w:tcPr>
            <w:tcW w:w="1800" w:type="dxa"/>
            <w:gridSpan w:val="2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Утверждено, тыс.руб.</w:t>
            </w:r>
          </w:p>
        </w:tc>
        <w:tc>
          <w:tcPr>
            <w:tcW w:w="1800" w:type="dxa"/>
            <w:gridSpan w:val="2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Исполнено, тыс.руб.</w:t>
            </w:r>
          </w:p>
        </w:tc>
        <w:tc>
          <w:tcPr>
            <w:tcW w:w="1657" w:type="dxa"/>
            <w:gridSpan w:val="2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Отклонение, тыс.руб.</w:t>
            </w:r>
          </w:p>
        </w:tc>
        <w:tc>
          <w:tcPr>
            <w:tcW w:w="1559" w:type="dxa"/>
            <w:gridSpan w:val="2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Исполнение, %</w:t>
            </w:r>
          </w:p>
        </w:tc>
        <w:tc>
          <w:tcPr>
            <w:tcW w:w="1417" w:type="dxa"/>
            <w:gridSpan w:val="2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Доля, %</w:t>
            </w:r>
          </w:p>
        </w:tc>
      </w:tr>
      <w:tr w:rsidR="006236DF" w:rsidRPr="0048008E">
        <w:tc>
          <w:tcPr>
            <w:tcW w:w="1620" w:type="dxa"/>
            <w:vMerge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2019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2018</w:t>
            </w:r>
          </w:p>
        </w:tc>
        <w:tc>
          <w:tcPr>
            <w:tcW w:w="937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2019</w:t>
            </w:r>
          </w:p>
        </w:tc>
        <w:tc>
          <w:tcPr>
            <w:tcW w:w="708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2019</w:t>
            </w:r>
          </w:p>
        </w:tc>
      </w:tr>
      <w:tr w:rsidR="006236DF" w:rsidRPr="0048008E">
        <w:tc>
          <w:tcPr>
            <w:tcW w:w="1620" w:type="dxa"/>
          </w:tcPr>
          <w:p w:rsidR="006236DF" w:rsidRPr="0048008E" w:rsidRDefault="006236DF" w:rsidP="00D93566">
            <w:pPr>
              <w:spacing w:line="192" w:lineRule="auto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 xml:space="preserve">Дотации 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6029,4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6672,8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5997,4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6672,8</w:t>
            </w:r>
          </w:p>
        </w:tc>
        <w:tc>
          <w:tcPr>
            <w:tcW w:w="72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32,0</w:t>
            </w:r>
          </w:p>
        </w:tc>
        <w:tc>
          <w:tcPr>
            <w:tcW w:w="937" w:type="dxa"/>
            <w:vAlign w:val="bottom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0</w:t>
            </w:r>
            <w:r w:rsidRPr="0048008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99,5</w:t>
            </w:r>
          </w:p>
        </w:tc>
        <w:tc>
          <w:tcPr>
            <w:tcW w:w="851" w:type="dxa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100</w:t>
            </w:r>
            <w:r w:rsidRPr="0048008E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95,9</w:t>
            </w:r>
          </w:p>
        </w:tc>
        <w:tc>
          <w:tcPr>
            <w:tcW w:w="708" w:type="dxa"/>
            <w:vAlign w:val="bottom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37,2</w:t>
            </w:r>
          </w:p>
        </w:tc>
      </w:tr>
      <w:tr w:rsidR="006236DF" w:rsidRPr="0048008E">
        <w:tc>
          <w:tcPr>
            <w:tcW w:w="1620" w:type="dxa"/>
          </w:tcPr>
          <w:p w:rsidR="006236DF" w:rsidRPr="0048008E" w:rsidRDefault="006236DF" w:rsidP="00D93566">
            <w:pPr>
              <w:spacing w:line="192" w:lineRule="auto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Субсидии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10997,5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10997,5</w:t>
            </w:r>
          </w:p>
        </w:tc>
        <w:tc>
          <w:tcPr>
            <w:tcW w:w="72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bottom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0</w:t>
            </w:r>
            <w:r w:rsidRPr="0048008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100</w:t>
            </w:r>
            <w:r w:rsidRPr="0048008E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bottom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61,4</w:t>
            </w:r>
          </w:p>
        </w:tc>
      </w:tr>
      <w:tr w:rsidR="006236DF" w:rsidRPr="0048008E">
        <w:tc>
          <w:tcPr>
            <w:tcW w:w="1620" w:type="dxa"/>
          </w:tcPr>
          <w:p w:rsidR="006236DF" w:rsidRPr="0048008E" w:rsidRDefault="006236DF" w:rsidP="00D93566">
            <w:pPr>
              <w:spacing w:line="192" w:lineRule="auto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Субвенции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235,7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246,0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235,7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246,0</w:t>
            </w:r>
          </w:p>
        </w:tc>
        <w:tc>
          <w:tcPr>
            <w:tcW w:w="72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vAlign w:val="bottom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0</w:t>
            </w:r>
            <w:r w:rsidRPr="0048008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100</w:t>
            </w:r>
            <w:r w:rsidRPr="0048008E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3,7</w:t>
            </w:r>
          </w:p>
        </w:tc>
        <w:tc>
          <w:tcPr>
            <w:tcW w:w="708" w:type="dxa"/>
            <w:vAlign w:val="bottom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1,4</w:t>
            </w:r>
          </w:p>
        </w:tc>
      </w:tr>
      <w:tr w:rsidR="006236DF" w:rsidRPr="0048008E">
        <w:tc>
          <w:tcPr>
            <w:tcW w:w="1620" w:type="dxa"/>
          </w:tcPr>
          <w:p w:rsidR="006236DF" w:rsidRPr="0048008E" w:rsidRDefault="006236DF" w:rsidP="00D93566">
            <w:pPr>
              <w:spacing w:line="192" w:lineRule="auto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23,2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23,2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0,0</w:t>
            </w:r>
          </w:p>
        </w:tc>
        <w:tc>
          <w:tcPr>
            <w:tcW w:w="937" w:type="dxa"/>
            <w:vAlign w:val="bottom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0,4</w:t>
            </w:r>
          </w:p>
        </w:tc>
        <w:tc>
          <w:tcPr>
            <w:tcW w:w="708" w:type="dxa"/>
            <w:vAlign w:val="bottom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236DF" w:rsidRPr="0048008E">
        <w:tc>
          <w:tcPr>
            <w:tcW w:w="1620" w:type="dxa"/>
          </w:tcPr>
          <w:p w:rsidR="006236DF" w:rsidRPr="0048008E" w:rsidRDefault="006236DF" w:rsidP="00D93566">
            <w:pPr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ВСЕГО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6288,3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17916,3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6256,3</w:t>
            </w:r>
          </w:p>
        </w:tc>
        <w:tc>
          <w:tcPr>
            <w:tcW w:w="90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17916,3</w:t>
            </w:r>
          </w:p>
        </w:tc>
        <w:tc>
          <w:tcPr>
            <w:tcW w:w="720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32,0</w:t>
            </w:r>
          </w:p>
        </w:tc>
        <w:tc>
          <w:tcPr>
            <w:tcW w:w="937" w:type="dxa"/>
            <w:vAlign w:val="bottom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0</w:t>
            </w:r>
            <w:r w:rsidRPr="0048008E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99,5</w:t>
            </w:r>
          </w:p>
        </w:tc>
        <w:tc>
          <w:tcPr>
            <w:tcW w:w="851" w:type="dxa"/>
            <w:vAlign w:val="bottom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100</w:t>
            </w:r>
            <w:r w:rsidRPr="0048008E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vAlign w:val="bottom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6236DF" w:rsidRPr="0048008E" w:rsidRDefault="006236DF" w:rsidP="000624D5">
      <w:pPr>
        <w:jc w:val="both"/>
        <w:rPr>
          <w:sz w:val="28"/>
          <w:szCs w:val="28"/>
        </w:rPr>
      </w:pP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Безвозмездные поступления от других бюджетов бюджетной системы РФ в виде дотаций, субсидий и субвенций исполнены на 100%.                   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>РАСХОДЫ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Бюджет по расходам за 2019 г. утвержден в объеме </w:t>
      </w:r>
      <w:r w:rsidRPr="0048008E">
        <w:rPr>
          <w:color w:val="000000"/>
          <w:sz w:val="28"/>
          <w:szCs w:val="28"/>
        </w:rPr>
        <w:t>31555,4</w:t>
      </w:r>
      <w:r w:rsidRPr="0048008E">
        <w:rPr>
          <w:sz w:val="28"/>
          <w:szCs w:val="28"/>
        </w:rPr>
        <w:t xml:space="preserve"> тыс. рублей, исполнен на </w:t>
      </w:r>
      <w:r w:rsidRPr="0048008E">
        <w:rPr>
          <w:color w:val="000000"/>
          <w:sz w:val="28"/>
          <w:szCs w:val="28"/>
        </w:rPr>
        <w:t>30190,8</w:t>
      </w:r>
      <w:r w:rsidRPr="0048008E">
        <w:rPr>
          <w:sz w:val="28"/>
          <w:szCs w:val="28"/>
        </w:rPr>
        <w:t xml:space="preserve"> тыс. рублей, т.е. 95,7% к утвержденному плану.</w:t>
      </w:r>
    </w:p>
    <w:p w:rsidR="006236DF" w:rsidRPr="0048008E" w:rsidRDefault="006236DF" w:rsidP="000624D5">
      <w:pPr>
        <w:ind w:firstLine="360"/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Общая характеристика расходов по разделам функциональной классификации за 2018-2019 годы приведена в таблице:</w:t>
      </w:r>
    </w:p>
    <w:p w:rsidR="006236DF" w:rsidRPr="0048008E" w:rsidRDefault="006236DF" w:rsidP="000624D5">
      <w:pPr>
        <w:ind w:firstLine="360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851"/>
        <w:gridCol w:w="850"/>
        <w:gridCol w:w="851"/>
        <w:gridCol w:w="850"/>
        <w:gridCol w:w="709"/>
        <w:gridCol w:w="850"/>
        <w:gridCol w:w="709"/>
        <w:gridCol w:w="709"/>
        <w:gridCol w:w="709"/>
        <w:gridCol w:w="708"/>
      </w:tblGrid>
      <w:tr w:rsidR="006236DF" w:rsidRPr="0048008E">
        <w:trPr>
          <w:trHeight w:val="349"/>
        </w:trPr>
        <w:tc>
          <w:tcPr>
            <w:tcW w:w="2057" w:type="dxa"/>
            <w:vMerge w:val="restart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Расходы</w:t>
            </w:r>
          </w:p>
        </w:tc>
        <w:tc>
          <w:tcPr>
            <w:tcW w:w="1701" w:type="dxa"/>
            <w:gridSpan w:val="2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Утверждено, тыс.руб.</w:t>
            </w:r>
          </w:p>
        </w:tc>
        <w:tc>
          <w:tcPr>
            <w:tcW w:w="1701" w:type="dxa"/>
            <w:gridSpan w:val="2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Исполнено, тыс.руб.</w:t>
            </w:r>
          </w:p>
        </w:tc>
        <w:tc>
          <w:tcPr>
            <w:tcW w:w="1559" w:type="dxa"/>
            <w:gridSpan w:val="2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Отклонение, тыс.руб.</w:t>
            </w:r>
          </w:p>
        </w:tc>
        <w:tc>
          <w:tcPr>
            <w:tcW w:w="1418" w:type="dxa"/>
            <w:gridSpan w:val="2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Исполнение, %</w:t>
            </w:r>
          </w:p>
        </w:tc>
        <w:tc>
          <w:tcPr>
            <w:tcW w:w="1417" w:type="dxa"/>
            <w:gridSpan w:val="2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Доля, %</w:t>
            </w:r>
          </w:p>
        </w:tc>
      </w:tr>
      <w:tr w:rsidR="006236DF" w:rsidRPr="0048008E">
        <w:trPr>
          <w:trHeight w:val="349"/>
        </w:trPr>
        <w:tc>
          <w:tcPr>
            <w:tcW w:w="2057" w:type="dxa"/>
            <w:vMerge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vAlign w:val="center"/>
          </w:tcPr>
          <w:p w:rsidR="006236DF" w:rsidRPr="0048008E" w:rsidRDefault="006236DF" w:rsidP="00D93566">
            <w:pPr>
              <w:jc w:val="center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2019</w:t>
            </w:r>
          </w:p>
        </w:tc>
      </w:tr>
      <w:tr w:rsidR="006236DF" w:rsidRPr="0048008E">
        <w:tc>
          <w:tcPr>
            <w:tcW w:w="2057" w:type="dxa"/>
            <w:vAlign w:val="center"/>
          </w:tcPr>
          <w:p w:rsidR="006236DF" w:rsidRPr="0048008E" w:rsidRDefault="006236DF" w:rsidP="00D93566">
            <w:pPr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4278,5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4827,1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4267,6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4522,3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10,9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304,8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99,7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93,7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22,0</w:t>
            </w:r>
          </w:p>
        </w:tc>
        <w:tc>
          <w:tcPr>
            <w:tcW w:w="708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6236DF" w:rsidRPr="0048008E">
        <w:tc>
          <w:tcPr>
            <w:tcW w:w="2057" w:type="dxa"/>
            <w:vAlign w:val="center"/>
          </w:tcPr>
          <w:p w:rsidR="006236DF" w:rsidRPr="0048008E" w:rsidRDefault="006236DF" w:rsidP="00D93566">
            <w:pPr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 xml:space="preserve">Национальная оборона 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206,7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206,7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225,0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1,1</w:t>
            </w:r>
          </w:p>
        </w:tc>
        <w:tc>
          <w:tcPr>
            <w:tcW w:w="708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6236DF" w:rsidRPr="0048008E">
        <w:tc>
          <w:tcPr>
            <w:tcW w:w="2057" w:type="dxa"/>
            <w:vAlign w:val="center"/>
          </w:tcPr>
          <w:p w:rsidR="006236DF" w:rsidRPr="0048008E" w:rsidRDefault="006236DF" w:rsidP="00D93566">
            <w:pPr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229,9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122,4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229,9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114,8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7,6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93,8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1,2</w:t>
            </w:r>
          </w:p>
        </w:tc>
        <w:tc>
          <w:tcPr>
            <w:tcW w:w="708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6236DF" w:rsidRPr="0048008E">
        <w:tc>
          <w:tcPr>
            <w:tcW w:w="2057" w:type="dxa"/>
            <w:vAlign w:val="center"/>
          </w:tcPr>
          <w:p w:rsidR="006236DF" w:rsidRPr="0048008E" w:rsidRDefault="006236DF" w:rsidP="00D93566">
            <w:pPr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1828,3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6411,5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1765,8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6234,4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62,5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177,1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96,6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97,2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9,1</w:t>
            </w:r>
          </w:p>
        </w:tc>
        <w:tc>
          <w:tcPr>
            <w:tcW w:w="708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20,6</w:t>
            </w:r>
          </w:p>
        </w:tc>
      </w:tr>
      <w:tr w:rsidR="006236DF" w:rsidRPr="0048008E">
        <w:tc>
          <w:tcPr>
            <w:tcW w:w="2057" w:type="dxa"/>
            <w:vAlign w:val="center"/>
          </w:tcPr>
          <w:p w:rsidR="006236DF" w:rsidRPr="0048008E" w:rsidRDefault="006236DF" w:rsidP="00D93566">
            <w:pPr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9297,2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16359,9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9297,2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15487,7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872,2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94,7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47,9</w:t>
            </w:r>
          </w:p>
        </w:tc>
        <w:tc>
          <w:tcPr>
            <w:tcW w:w="708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51,3</w:t>
            </w:r>
          </w:p>
        </w:tc>
      </w:tr>
      <w:tr w:rsidR="006236DF" w:rsidRPr="0048008E">
        <w:tc>
          <w:tcPr>
            <w:tcW w:w="2057" w:type="dxa"/>
            <w:vAlign w:val="center"/>
          </w:tcPr>
          <w:p w:rsidR="006236DF" w:rsidRPr="0048008E" w:rsidRDefault="006236DF" w:rsidP="00D93566">
            <w:pPr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2920,4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2890,7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2919,2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2890,7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1,2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15,0</w:t>
            </w:r>
          </w:p>
        </w:tc>
        <w:tc>
          <w:tcPr>
            <w:tcW w:w="708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9,6</w:t>
            </w:r>
          </w:p>
        </w:tc>
      </w:tr>
      <w:tr w:rsidR="006236DF" w:rsidRPr="0048008E">
        <w:tc>
          <w:tcPr>
            <w:tcW w:w="2057" w:type="dxa"/>
            <w:vAlign w:val="center"/>
          </w:tcPr>
          <w:p w:rsidR="006236DF" w:rsidRPr="0048008E" w:rsidRDefault="006236DF" w:rsidP="00D93566">
            <w:pPr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146,5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146,5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6236DF" w:rsidRPr="0048008E">
        <w:tc>
          <w:tcPr>
            <w:tcW w:w="2057" w:type="dxa"/>
            <w:vAlign w:val="center"/>
          </w:tcPr>
          <w:p w:rsidR="006236DF" w:rsidRPr="0048008E" w:rsidRDefault="006236DF" w:rsidP="00D93566">
            <w:pPr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724,3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572,3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724,3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569,4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2,9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3,7</w:t>
            </w:r>
          </w:p>
        </w:tc>
        <w:tc>
          <w:tcPr>
            <w:tcW w:w="708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1,9</w:t>
            </w:r>
          </w:p>
        </w:tc>
      </w:tr>
      <w:tr w:rsidR="006236DF" w:rsidRPr="0048008E">
        <w:tc>
          <w:tcPr>
            <w:tcW w:w="2057" w:type="dxa"/>
            <w:vAlign w:val="center"/>
          </w:tcPr>
          <w:p w:rsidR="006236DF" w:rsidRPr="0048008E" w:rsidRDefault="006236DF" w:rsidP="00D93566">
            <w:pPr>
              <w:spacing w:before="120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Итого</w:t>
            </w:r>
            <w:r w:rsidRPr="0048008E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19485,3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31555,4</w:t>
            </w:r>
          </w:p>
        </w:tc>
        <w:tc>
          <w:tcPr>
            <w:tcW w:w="851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19410,7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30190,8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74,6</w:t>
            </w:r>
          </w:p>
        </w:tc>
        <w:tc>
          <w:tcPr>
            <w:tcW w:w="850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1364,6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99,6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95,7</w:t>
            </w:r>
          </w:p>
        </w:tc>
        <w:tc>
          <w:tcPr>
            <w:tcW w:w="709" w:type="dxa"/>
            <w:vAlign w:val="center"/>
          </w:tcPr>
          <w:p w:rsidR="006236DF" w:rsidRPr="0048008E" w:rsidRDefault="006236DF" w:rsidP="001C617E">
            <w:pPr>
              <w:jc w:val="right"/>
              <w:rPr>
                <w:sz w:val="18"/>
                <w:szCs w:val="18"/>
              </w:rPr>
            </w:pPr>
            <w:r w:rsidRPr="0048008E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vAlign w:val="center"/>
          </w:tcPr>
          <w:p w:rsidR="006236DF" w:rsidRPr="0048008E" w:rsidRDefault="006236DF" w:rsidP="001C617E">
            <w:pPr>
              <w:jc w:val="right"/>
              <w:rPr>
                <w:color w:val="000000"/>
                <w:sz w:val="18"/>
                <w:szCs w:val="18"/>
              </w:rPr>
            </w:pPr>
            <w:r w:rsidRPr="0048008E">
              <w:rPr>
                <w:color w:val="000000"/>
                <w:sz w:val="18"/>
                <w:szCs w:val="18"/>
              </w:rPr>
              <w:t>100,0</w:t>
            </w:r>
          </w:p>
        </w:tc>
      </w:tr>
    </w:tbl>
    <w:p w:rsidR="006236DF" w:rsidRPr="0048008E" w:rsidRDefault="006236DF" w:rsidP="000624D5">
      <w:pPr>
        <w:ind w:firstLine="360"/>
        <w:jc w:val="both"/>
        <w:rPr>
          <w:sz w:val="28"/>
          <w:szCs w:val="28"/>
        </w:rPr>
      </w:pPr>
    </w:p>
    <w:p w:rsidR="006236DF" w:rsidRPr="0048008E" w:rsidRDefault="006236DF" w:rsidP="000624D5">
      <w:pPr>
        <w:ind w:firstLine="709"/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Наибольшую долю в общей сумме расходов, составляют расходы на жилищно-коммунальное хозяйство 51,3%, на национальную экономику 20,6%. </w:t>
      </w:r>
    </w:p>
    <w:p w:rsidR="006236DF" w:rsidRPr="0048008E" w:rsidRDefault="006236DF" w:rsidP="000624D5">
      <w:pPr>
        <w:ind w:firstLine="709"/>
        <w:jc w:val="both"/>
        <w:rPr>
          <w:sz w:val="28"/>
          <w:szCs w:val="28"/>
        </w:rPr>
      </w:pPr>
      <w:r w:rsidRPr="0048008E">
        <w:rPr>
          <w:sz w:val="28"/>
          <w:szCs w:val="28"/>
        </w:rPr>
        <w:t>Наименьшую долю в структуре расходов до 1,9% составляют: национальная оборона; национальная безопасность; социальная политика и расходы на физическую культуру и спорт.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  В разрезе разделов функциональной классификации расходы бюджета составили по: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  1) разделу «Общегосударственные вопросы» - </w:t>
      </w:r>
      <w:r w:rsidRPr="0048008E">
        <w:rPr>
          <w:color w:val="000000"/>
          <w:sz w:val="28"/>
          <w:szCs w:val="28"/>
        </w:rPr>
        <w:t>4522,3</w:t>
      </w:r>
      <w:r w:rsidRPr="0048008E">
        <w:rPr>
          <w:sz w:val="28"/>
          <w:szCs w:val="28"/>
        </w:rPr>
        <w:t xml:space="preserve"> тыс. рублей, исполнение составило </w:t>
      </w:r>
      <w:r w:rsidRPr="0048008E">
        <w:rPr>
          <w:color w:val="000000"/>
          <w:sz w:val="28"/>
          <w:szCs w:val="28"/>
        </w:rPr>
        <w:t>93,7</w:t>
      </w:r>
      <w:r w:rsidRPr="0048008E">
        <w:rPr>
          <w:sz w:val="28"/>
          <w:szCs w:val="28"/>
        </w:rPr>
        <w:t xml:space="preserve">% от плановых назначений, в том числе: </w:t>
      </w:r>
    </w:p>
    <w:p w:rsidR="006236DF" w:rsidRPr="0048008E" w:rsidRDefault="006236DF" w:rsidP="000624D5">
      <w:pPr>
        <w:ind w:firstLine="426"/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- по подразделу «Функционирование высшего должностного лица   субъекта Российской Федерации и муниципального образования» - 785,0 тыс. рублей, исполнение составило 100% к годовому плану;</w:t>
      </w:r>
    </w:p>
    <w:p w:rsidR="006236DF" w:rsidRPr="0048008E" w:rsidRDefault="006236DF" w:rsidP="000624D5">
      <w:pPr>
        <w:ind w:firstLine="426"/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- по подразделу «Функционирование Правительства РФ, высших исполнительных органов государственной власти субъектов РФ, местных администраций» - 3274,7 тыс. рублей, исполнение составило 92,2% к годовому плану;</w:t>
      </w:r>
    </w:p>
    <w:p w:rsidR="006236DF" w:rsidRPr="0048008E" w:rsidRDefault="006236DF" w:rsidP="000624D5">
      <w:pPr>
        <w:ind w:firstLine="426"/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- по подразделу «Обеспечение деятельности финансовых, налоговых и таможенных органов и органов финансового надзора» - 57,7 тыс. рублей, исполнение составило 100,0% от уровня годового плана;</w:t>
      </w:r>
    </w:p>
    <w:p w:rsidR="006236DF" w:rsidRPr="0048008E" w:rsidRDefault="006236DF" w:rsidP="000624D5">
      <w:pPr>
        <w:ind w:firstLine="426"/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- по подразделу «Другие общегосударственные вопросы» - 404,9 тыс. рублей, исполнение составило 98,2% к годовому плану;</w:t>
      </w:r>
    </w:p>
    <w:p w:rsidR="006236DF" w:rsidRPr="0048008E" w:rsidRDefault="006236DF" w:rsidP="000624D5">
      <w:pPr>
        <w:ind w:firstLine="426"/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8008E">
        <w:rPr>
          <w:sz w:val="28"/>
          <w:szCs w:val="28"/>
        </w:rPr>
        <w:t>Резервные средства были запланированы в размере 20,0 тыс. рублей, фактически расходы не производились;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</w:t>
      </w:r>
      <w:r w:rsidRPr="0048008E">
        <w:rPr>
          <w:sz w:val="28"/>
          <w:szCs w:val="28"/>
        </w:rPr>
        <w:tab/>
        <w:t xml:space="preserve">2) По разделу «Национальная оборона» расходы составили </w:t>
      </w:r>
      <w:r w:rsidRPr="0048008E">
        <w:rPr>
          <w:color w:val="000000"/>
          <w:sz w:val="28"/>
          <w:szCs w:val="28"/>
        </w:rPr>
        <w:t>225,0</w:t>
      </w:r>
      <w:r w:rsidRPr="0048008E">
        <w:rPr>
          <w:sz w:val="28"/>
          <w:szCs w:val="28"/>
        </w:rPr>
        <w:t xml:space="preserve"> тыс. рублей, исполнение составило 100% от уровня годового плана;      </w:t>
      </w:r>
    </w:p>
    <w:p w:rsidR="006236DF" w:rsidRPr="0048008E" w:rsidRDefault="006236DF" w:rsidP="000624D5">
      <w:pPr>
        <w:ind w:firstLine="708"/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3) Расходы по разделу «Национальная безопасность и правоохранительная деятельность» составили 114,8 тыс. рублей, исполнение составило </w:t>
      </w:r>
      <w:r w:rsidRPr="0048008E">
        <w:rPr>
          <w:color w:val="000000"/>
          <w:sz w:val="28"/>
          <w:szCs w:val="28"/>
        </w:rPr>
        <w:t>93,8</w:t>
      </w:r>
      <w:r w:rsidRPr="0048008E">
        <w:rPr>
          <w:sz w:val="28"/>
          <w:szCs w:val="28"/>
        </w:rPr>
        <w:t xml:space="preserve"> % от уровня годового плана; 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4) Расходы по разделу «Национальная экономика» произведены на сумму 6234,4 тыс. рублей, исполнение составило </w:t>
      </w:r>
      <w:r w:rsidRPr="0048008E">
        <w:rPr>
          <w:color w:val="000000"/>
          <w:sz w:val="28"/>
          <w:szCs w:val="28"/>
        </w:rPr>
        <w:t>97,2</w:t>
      </w:r>
      <w:r w:rsidRPr="0048008E">
        <w:rPr>
          <w:sz w:val="28"/>
          <w:szCs w:val="28"/>
        </w:rPr>
        <w:t xml:space="preserve"> % плана года, в том числе: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 - по подразделу «Дорожное хозяйство (дорожные фонды)» - 5797,8 тыс. рублей, исполнение составило 97,7% от уровня годового плана;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</w:t>
      </w:r>
      <w:r w:rsidRPr="0048008E">
        <w:rPr>
          <w:sz w:val="28"/>
          <w:szCs w:val="28"/>
        </w:rPr>
        <w:tab/>
        <w:t>- по подразделу «Другие вопросы в области национальной экономики» (градостроительная деятельность) – 436,6 тыс. рублей, исполнение составило 91,7 % от годового плана;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5) Расходы бюджета по разделу «Жилищно-коммунальное хозяйство» составили </w:t>
      </w:r>
      <w:r w:rsidRPr="0048008E">
        <w:rPr>
          <w:color w:val="000000"/>
          <w:sz w:val="28"/>
          <w:szCs w:val="28"/>
        </w:rPr>
        <w:t>15487,7</w:t>
      </w:r>
      <w:r w:rsidRPr="0048008E">
        <w:rPr>
          <w:sz w:val="28"/>
          <w:szCs w:val="28"/>
        </w:rPr>
        <w:t xml:space="preserve"> тыс. рублей, исполнение составило 94,7% к уровню годового плана, из них:</w:t>
      </w:r>
    </w:p>
    <w:p w:rsidR="006236DF" w:rsidRPr="0048008E" w:rsidRDefault="006236DF" w:rsidP="000624D5">
      <w:pPr>
        <w:ind w:firstLine="708"/>
        <w:jc w:val="both"/>
        <w:rPr>
          <w:sz w:val="28"/>
          <w:szCs w:val="28"/>
        </w:rPr>
      </w:pPr>
      <w:r w:rsidRPr="0048008E">
        <w:rPr>
          <w:sz w:val="28"/>
          <w:szCs w:val="28"/>
        </w:rPr>
        <w:t>- по подразделу «Коммунальное хозяйство» в сумме 3897,2 тыс. рублей, исполнение составило 95,6% к уровню годового плана;</w:t>
      </w:r>
    </w:p>
    <w:p w:rsidR="006236DF" w:rsidRPr="0048008E" w:rsidRDefault="006236DF" w:rsidP="000624D5">
      <w:pPr>
        <w:ind w:firstLine="708"/>
        <w:jc w:val="both"/>
        <w:rPr>
          <w:sz w:val="28"/>
          <w:szCs w:val="28"/>
        </w:rPr>
      </w:pPr>
      <w:r w:rsidRPr="0048008E">
        <w:rPr>
          <w:sz w:val="28"/>
          <w:szCs w:val="28"/>
        </w:rPr>
        <w:t>- по подразделу «Благоустройство» в сумме 11590,5 тыс. рублей, исполнение составило 94,3% к уровню годового плана;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6) По разделу «Культура, кинематография» расходы из бюджета произведены на сумму </w:t>
      </w:r>
      <w:r w:rsidRPr="0048008E">
        <w:rPr>
          <w:color w:val="000000"/>
          <w:sz w:val="28"/>
          <w:szCs w:val="28"/>
        </w:rPr>
        <w:t>2890,7</w:t>
      </w:r>
      <w:r w:rsidRPr="0048008E">
        <w:rPr>
          <w:sz w:val="28"/>
          <w:szCs w:val="28"/>
        </w:rPr>
        <w:t xml:space="preserve"> тыс. рублей, исполнение составило </w:t>
      </w:r>
      <w:r w:rsidRPr="0048008E">
        <w:rPr>
          <w:color w:val="000000"/>
          <w:sz w:val="28"/>
          <w:szCs w:val="28"/>
        </w:rPr>
        <w:t>100</w:t>
      </w:r>
      <w:r w:rsidRPr="0048008E">
        <w:rPr>
          <w:sz w:val="28"/>
          <w:szCs w:val="28"/>
        </w:rPr>
        <w:t>% к уровню годового плана, из них:</w:t>
      </w:r>
    </w:p>
    <w:p w:rsidR="006236DF" w:rsidRPr="0048008E" w:rsidRDefault="006236DF" w:rsidP="000624D5">
      <w:pPr>
        <w:ind w:firstLine="708"/>
        <w:jc w:val="both"/>
        <w:rPr>
          <w:sz w:val="28"/>
          <w:szCs w:val="28"/>
        </w:rPr>
      </w:pPr>
      <w:r w:rsidRPr="0048008E">
        <w:rPr>
          <w:sz w:val="28"/>
          <w:szCs w:val="28"/>
        </w:rPr>
        <w:t>- по подразделу «Мероприятия в сфере культуры» в сумме 2570,2 тыс. рублей, исполнение составило 100% от уровня годового плана;</w:t>
      </w:r>
    </w:p>
    <w:p w:rsidR="006236DF" w:rsidRPr="0048008E" w:rsidRDefault="006236DF" w:rsidP="000624D5">
      <w:pPr>
        <w:ind w:firstLine="708"/>
        <w:jc w:val="both"/>
        <w:rPr>
          <w:sz w:val="28"/>
          <w:szCs w:val="28"/>
        </w:rPr>
      </w:pPr>
      <w:r w:rsidRPr="0048008E">
        <w:rPr>
          <w:sz w:val="28"/>
          <w:szCs w:val="28"/>
        </w:rPr>
        <w:t>- по подразделу «Библиотечное обслуживание населения» в сумме 320,5 тыс. рублей, исполнение составило 100,0 % от годовых плановых назначений;</w:t>
      </w:r>
    </w:p>
    <w:p w:rsidR="006236DF" w:rsidRPr="0048008E" w:rsidRDefault="006236DF" w:rsidP="000624D5">
      <w:pPr>
        <w:ind w:firstLine="708"/>
        <w:jc w:val="both"/>
        <w:rPr>
          <w:sz w:val="28"/>
          <w:szCs w:val="28"/>
        </w:rPr>
      </w:pPr>
      <w:r w:rsidRPr="0048008E">
        <w:rPr>
          <w:sz w:val="28"/>
          <w:szCs w:val="28"/>
        </w:rPr>
        <w:t>7) Расходы бюджета по разделу «Социальная политика» произведены на сумму 146,5 тыс. рублей, исполнение составило 100 % от уровня годового плана;</w:t>
      </w:r>
    </w:p>
    <w:p w:rsidR="006236DF" w:rsidRPr="0048008E" w:rsidRDefault="006236DF" w:rsidP="000624D5">
      <w:pPr>
        <w:ind w:firstLine="708"/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8) Расходы бюджета по разделу «Физическая культура и спорт» произведены на сумму 569,4 тыс. рублей, исполнение составило 99,5% от уровня годового плана.   </w:t>
      </w:r>
    </w:p>
    <w:p w:rsidR="006236DF" w:rsidRPr="0048008E" w:rsidRDefault="006236DF" w:rsidP="000727A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8008E">
        <w:rPr>
          <w:color w:val="FF0000"/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 </w:t>
      </w:r>
      <w:r w:rsidRPr="0048008E">
        <w:rPr>
          <w:color w:val="FF0000"/>
          <w:sz w:val="28"/>
          <w:szCs w:val="28"/>
        </w:rPr>
        <w:t xml:space="preserve"> </w:t>
      </w:r>
      <w:r w:rsidRPr="0048008E">
        <w:rPr>
          <w:sz w:val="28"/>
          <w:szCs w:val="28"/>
        </w:rPr>
        <w:t>Показатели отчета об исполнении бюджета ф.0503117 соответствуют аналогичным показателям ф.0503123</w:t>
      </w:r>
      <w:r w:rsidRPr="0048008E">
        <w:rPr>
          <w:rFonts w:ascii="Times New Roman CYR" w:hAnsi="Times New Roman CYR" w:cs="Times New Roman CYR"/>
          <w:sz w:val="28"/>
          <w:szCs w:val="28"/>
        </w:rPr>
        <w:t xml:space="preserve"> (отчет о движении денежных средств); ф.0503124 (отчет о кассовом поступлении и выбытии); ф.0503140 (баланс по поступлениям и выбытиям бюджетных средств).    </w:t>
      </w:r>
    </w:p>
    <w:p w:rsidR="006236DF" w:rsidRPr="0048008E" w:rsidRDefault="006236DF" w:rsidP="000727AF">
      <w:pPr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48008E">
        <w:rPr>
          <w:sz w:val="28"/>
          <w:szCs w:val="28"/>
        </w:rPr>
        <w:t xml:space="preserve">         Баланс исполнения бюджета (ф.0503120) содержит данные о нефинансовых и финансовых активах, обязательствах муниципальных образований на первый и последний день отчетного периода по счетам плана счетов бюджетного учета. Показатели данной формы соответствуют аналогичным показателям ф.0503168 (сведения о движении нефинансовых активов); </w:t>
      </w:r>
      <w:r w:rsidRPr="0048008E">
        <w:rPr>
          <w:rFonts w:ascii="Times New Roman CYR" w:hAnsi="Times New Roman CYR" w:cs="Times New Roman CYR"/>
          <w:sz w:val="28"/>
          <w:szCs w:val="28"/>
        </w:rPr>
        <w:t>ф.0503169 (сведения о кредиторской и дебиторской задолженности).</w:t>
      </w:r>
    </w:p>
    <w:p w:rsidR="006236DF" w:rsidRPr="0048008E" w:rsidRDefault="006236DF" w:rsidP="000727AF">
      <w:pPr>
        <w:jc w:val="both"/>
        <w:rPr>
          <w:sz w:val="28"/>
          <w:szCs w:val="28"/>
        </w:rPr>
      </w:pPr>
      <w:r w:rsidRPr="0048008E">
        <w:rPr>
          <w:rFonts w:ascii="Times New Roman CYR" w:hAnsi="Times New Roman CYR" w:cs="Times New Roman CYR"/>
          <w:sz w:val="28"/>
          <w:szCs w:val="28"/>
        </w:rPr>
        <w:t xml:space="preserve">         Отчет о кассовом поступлении и выбытии бюджетных средств (ф.0503124) отражает показатели</w:t>
      </w:r>
      <w:r w:rsidRPr="0048008E">
        <w:rPr>
          <w:sz w:val="28"/>
          <w:szCs w:val="28"/>
        </w:rPr>
        <w:t xml:space="preserve"> по кассовому исполнению доходов и расходов по бюджетной деятельности и содержит годовые объемы утвержденных бюджетных назначений по доходам, расходам и источникам финансирования бюджета (данные соответствуют ф.0503117, ф.0503123).</w:t>
      </w:r>
    </w:p>
    <w:p w:rsidR="006236DF" w:rsidRPr="0048008E" w:rsidRDefault="006236DF" w:rsidP="000727AF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8008E">
        <w:rPr>
          <w:rFonts w:ascii="Times New Roman CYR" w:hAnsi="Times New Roman CYR" w:cs="Times New Roman CYR"/>
          <w:sz w:val="28"/>
          <w:szCs w:val="28"/>
        </w:rPr>
        <w:t xml:space="preserve">         Баланс по поступлениям и выбытиям бюджетных средств (ф.0503140) отражает показатели по поступлениям и выбытиям денежных средств в разрезе бюджетной деятельности - данные соответствуют ф.0503117.    </w:t>
      </w:r>
    </w:p>
    <w:p w:rsidR="006236DF" w:rsidRPr="0048008E" w:rsidRDefault="006236DF" w:rsidP="000727AF">
      <w:pPr>
        <w:jc w:val="both"/>
        <w:rPr>
          <w:sz w:val="28"/>
          <w:szCs w:val="28"/>
        </w:rPr>
      </w:pPr>
      <w:r w:rsidRPr="0048008E">
        <w:rPr>
          <w:rFonts w:ascii="Times New Roman CYR" w:hAnsi="Times New Roman CYR" w:cs="Times New Roman CYR"/>
          <w:sz w:val="28"/>
          <w:szCs w:val="28"/>
        </w:rPr>
        <w:t xml:space="preserve">         Пояснительная записка (ф.0503160) содержит</w:t>
      </w:r>
      <w:r w:rsidRPr="0048008E">
        <w:rPr>
          <w:sz w:val="28"/>
          <w:szCs w:val="28"/>
        </w:rPr>
        <w:t xml:space="preserve"> информацию, оказавшую существенное влияние и характеризующую организационную структуру субъекта бюджетной отчетности за отчетный период, </w:t>
      </w:r>
      <w:r w:rsidRPr="0048008E">
        <w:rPr>
          <w:rFonts w:ascii="Times New Roman CYR" w:hAnsi="Times New Roman CYR" w:cs="Times New Roman CYR"/>
          <w:sz w:val="28"/>
          <w:szCs w:val="28"/>
        </w:rPr>
        <w:t xml:space="preserve">анализ исполнения бюджета и бюджетной отчетности, а также сведения о результатах  использования бюджетных ассигнований, бюджетных средств в отчетном  финансовом году. </w:t>
      </w:r>
      <w:r w:rsidRPr="0048008E">
        <w:rPr>
          <w:sz w:val="28"/>
          <w:szCs w:val="28"/>
        </w:rPr>
        <w:tab/>
        <w:t xml:space="preserve"> </w:t>
      </w:r>
    </w:p>
    <w:p w:rsidR="006236DF" w:rsidRPr="0048008E" w:rsidRDefault="006236DF" w:rsidP="000727AF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При проведении проверки годового отчета выявлено следующее:</w:t>
      </w:r>
    </w:p>
    <w:p w:rsidR="006236DF" w:rsidRPr="0048008E" w:rsidRDefault="006236DF" w:rsidP="00A93C2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ab/>
      </w:r>
      <w:r>
        <w:rPr>
          <w:sz w:val="28"/>
          <w:szCs w:val="28"/>
        </w:rPr>
        <w:t>- в</w:t>
      </w:r>
      <w:r w:rsidRPr="0048008E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 w:rsidRPr="0048008E">
        <w:rPr>
          <w:sz w:val="28"/>
          <w:szCs w:val="28"/>
        </w:rPr>
        <w:t xml:space="preserve"> </w:t>
      </w:r>
      <w:r w:rsidRPr="0048008E">
        <w:rPr>
          <w:rStyle w:val="Strong"/>
          <w:b w:val="0"/>
          <w:bCs w:val="0"/>
          <w:sz w:val="28"/>
          <w:szCs w:val="28"/>
        </w:rPr>
        <w:t>п. 152 Инструкции № 191н</w:t>
      </w:r>
      <w:r w:rsidRPr="0048008E">
        <w:rPr>
          <w:rStyle w:val="Strong"/>
          <w:sz w:val="28"/>
          <w:szCs w:val="28"/>
        </w:rPr>
        <w:t xml:space="preserve"> </w:t>
      </w:r>
      <w:r>
        <w:rPr>
          <w:sz w:val="28"/>
          <w:szCs w:val="28"/>
        </w:rPr>
        <w:t>сведения о недостачах и хищениях отражаются в разделе 5 пояснительной записки, а не в 4 разделе.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ab/>
      </w:r>
      <w:r>
        <w:rPr>
          <w:sz w:val="28"/>
          <w:szCs w:val="28"/>
        </w:rPr>
        <w:t>Предложение</w:t>
      </w:r>
    </w:p>
    <w:p w:rsidR="006236DF" w:rsidRPr="0048008E" w:rsidRDefault="006236DF" w:rsidP="000624D5">
      <w:pPr>
        <w:ind w:firstLine="708"/>
        <w:jc w:val="both"/>
        <w:rPr>
          <w:sz w:val="28"/>
          <w:szCs w:val="28"/>
        </w:rPr>
      </w:pPr>
      <w:r w:rsidRPr="0048008E">
        <w:rPr>
          <w:sz w:val="28"/>
          <w:szCs w:val="28"/>
        </w:rPr>
        <w:t>1. Не допускать образования дебиторской и кредиторской задолженности, своевременно принимать меры к её снижению.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  </w:t>
      </w:r>
      <w:r w:rsidRPr="00D25316">
        <w:rPr>
          <w:sz w:val="28"/>
          <w:szCs w:val="28"/>
        </w:rPr>
        <w:t>2. В связи с низким исполнением бюджета по земельному налогу в 2019 году, в 2020 году принять меры к выполнению плана (проводить комиссии и рейды).</w:t>
      </w:r>
      <w:r w:rsidRPr="0048008E">
        <w:rPr>
          <w:sz w:val="28"/>
          <w:szCs w:val="28"/>
        </w:rPr>
        <w:t xml:space="preserve">  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  3. В пояснительной записке к годовому отчету указать дату прекращения (30.07.2019 г.) деятельности ООО «Межмуниципальная управляющая компания».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</w:p>
    <w:p w:rsidR="006236DF" w:rsidRPr="0048008E" w:rsidRDefault="006236DF" w:rsidP="000624D5">
      <w:pPr>
        <w:ind w:firstLine="708"/>
        <w:rPr>
          <w:sz w:val="28"/>
          <w:szCs w:val="28"/>
        </w:rPr>
      </w:pPr>
      <w:r w:rsidRPr="0048008E">
        <w:rPr>
          <w:sz w:val="28"/>
          <w:szCs w:val="28"/>
        </w:rPr>
        <w:t>ВЫВОДЫ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1. Отчет представлен в Контрольно-счетную палату  для проведения внешней проверки, проверки отчета об исполнении бюджета сельского поселения за 2019 год и подготовки заключения в установленные сроки.   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2. Отчетность об исполнении бюджета за 2019 год не содержит искажений и в целом достоверна. 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3. При контрольном соотношении показателей форм представленной годовой отчетности за 2019 год расхождений и нарушений не обнаружено. 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sz w:val="28"/>
          <w:szCs w:val="28"/>
        </w:rPr>
        <w:t xml:space="preserve">         4. Существенных фактов, способных негативно повлиять на достоверность бюджетной отчетности, не установлено.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  <w:r w:rsidRPr="0048008E">
        <w:rPr>
          <w:rFonts w:ascii="Times New Roman CYR" w:hAnsi="Times New Roman CYR" w:cs="Times New Roman CYR"/>
          <w:sz w:val="28"/>
          <w:szCs w:val="28"/>
        </w:rPr>
        <w:t xml:space="preserve">         5</w:t>
      </w:r>
      <w:r w:rsidRPr="0048008E">
        <w:rPr>
          <w:sz w:val="28"/>
          <w:szCs w:val="28"/>
        </w:rPr>
        <w:t>. Контрольно-счетная палата предлагает Совету депутатов утвердить отчет «Об исполнении бюджета за 2019 год».</w:t>
      </w:r>
    </w:p>
    <w:p w:rsidR="006236DF" w:rsidRPr="0048008E" w:rsidRDefault="006236DF" w:rsidP="000624D5">
      <w:pPr>
        <w:jc w:val="both"/>
        <w:rPr>
          <w:sz w:val="28"/>
          <w:szCs w:val="28"/>
        </w:rPr>
      </w:pPr>
    </w:p>
    <w:tbl>
      <w:tblPr>
        <w:tblW w:w="9828" w:type="dxa"/>
        <w:tblInd w:w="-106" w:type="dxa"/>
        <w:tblLook w:val="01E0"/>
      </w:tblPr>
      <w:tblGrid>
        <w:gridCol w:w="5925"/>
        <w:gridCol w:w="1801"/>
        <w:gridCol w:w="2102"/>
      </w:tblGrid>
      <w:tr w:rsidR="006236DF" w:rsidRPr="0048008E">
        <w:trPr>
          <w:trHeight w:val="542"/>
        </w:trPr>
        <w:tc>
          <w:tcPr>
            <w:tcW w:w="5925" w:type="dxa"/>
          </w:tcPr>
          <w:p w:rsidR="006236DF" w:rsidRPr="0048008E" w:rsidRDefault="006236DF" w:rsidP="001C617E">
            <w:pPr>
              <w:ind w:right="45"/>
              <w:rPr>
                <w:sz w:val="28"/>
                <w:szCs w:val="28"/>
              </w:rPr>
            </w:pPr>
          </w:p>
          <w:p w:rsidR="006236DF" w:rsidRPr="0048008E" w:rsidRDefault="006236DF" w:rsidP="001C617E">
            <w:pPr>
              <w:ind w:right="45"/>
              <w:rPr>
                <w:sz w:val="28"/>
                <w:szCs w:val="28"/>
              </w:rPr>
            </w:pPr>
            <w:r w:rsidRPr="0048008E">
              <w:rPr>
                <w:sz w:val="28"/>
                <w:szCs w:val="28"/>
              </w:rPr>
              <w:t>Председатель Контрольно-счетной палаты муниципального образования Сакмарский район</w:t>
            </w:r>
          </w:p>
        </w:tc>
        <w:tc>
          <w:tcPr>
            <w:tcW w:w="1801" w:type="dxa"/>
          </w:tcPr>
          <w:p w:rsidR="006236DF" w:rsidRPr="0048008E" w:rsidRDefault="006236DF" w:rsidP="001C617E">
            <w:pPr>
              <w:ind w:right="45"/>
              <w:jc w:val="both"/>
              <w:rPr>
                <w:sz w:val="28"/>
                <w:szCs w:val="28"/>
              </w:rPr>
            </w:pPr>
          </w:p>
          <w:p w:rsidR="006236DF" w:rsidRPr="0048008E" w:rsidRDefault="006236DF" w:rsidP="001C617E">
            <w:pPr>
              <w:ind w:right="45"/>
              <w:jc w:val="both"/>
              <w:rPr>
                <w:sz w:val="28"/>
                <w:szCs w:val="28"/>
              </w:rPr>
            </w:pPr>
          </w:p>
          <w:p w:rsidR="006236DF" w:rsidRPr="0048008E" w:rsidRDefault="006236DF" w:rsidP="001C617E">
            <w:pPr>
              <w:ind w:right="45"/>
              <w:jc w:val="both"/>
              <w:rPr>
                <w:sz w:val="28"/>
                <w:szCs w:val="28"/>
              </w:rPr>
            </w:pPr>
          </w:p>
          <w:p w:rsidR="006236DF" w:rsidRPr="0048008E" w:rsidRDefault="006236DF" w:rsidP="001C617E">
            <w:pPr>
              <w:ind w:right="45"/>
              <w:jc w:val="both"/>
              <w:rPr>
                <w:sz w:val="28"/>
                <w:szCs w:val="28"/>
              </w:rPr>
            </w:pPr>
            <w:r w:rsidRPr="0048008E">
              <w:rPr>
                <w:sz w:val="28"/>
                <w:szCs w:val="28"/>
              </w:rPr>
              <w:t>___________</w:t>
            </w:r>
          </w:p>
        </w:tc>
        <w:tc>
          <w:tcPr>
            <w:tcW w:w="2102" w:type="dxa"/>
          </w:tcPr>
          <w:p w:rsidR="006236DF" w:rsidRPr="0048008E" w:rsidRDefault="006236DF" w:rsidP="001C617E">
            <w:pPr>
              <w:rPr>
                <w:sz w:val="28"/>
                <w:szCs w:val="28"/>
              </w:rPr>
            </w:pPr>
          </w:p>
          <w:p w:rsidR="006236DF" w:rsidRPr="0048008E" w:rsidRDefault="006236DF" w:rsidP="001C617E">
            <w:pPr>
              <w:rPr>
                <w:sz w:val="28"/>
                <w:szCs w:val="28"/>
              </w:rPr>
            </w:pPr>
          </w:p>
          <w:p w:rsidR="006236DF" w:rsidRPr="0048008E" w:rsidRDefault="006236DF" w:rsidP="001C617E">
            <w:pPr>
              <w:rPr>
                <w:sz w:val="28"/>
                <w:szCs w:val="28"/>
              </w:rPr>
            </w:pPr>
          </w:p>
          <w:p w:rsidR="006236DF" w:rsidRPr="0048008E" w:rsidRDefault="006236DF" w:rsidP="001C617E">
            <w:pPr>
              <w:rPr>
                <w:sz w:val="28"/>
                <w:szCs w:val="28"/>
              </w:rPr>
            </w:pPr>
            <w:r w:rsidRPr="0048008E">
              <w:rPr>
                <w:sz w:val="28"/>
                <w:szCs w:val="28"/>
              </w:rPr>
              <w:t>А.В.Чеботарева</w:t>
            </w:r>
          </w:p>
        </w:tc>
      </w:tr>
      <w:tr w:rsidR="006236DF" w:rsidRPr="00CC2AA9">
        <w:trPr>
          <w:trHeight w:val="542"/>
        </w:trPr>
        <w:tc>
          <w:tcPr>
            <w:tcW w:w="5925" w:type="dxa"/>
          </w:tcPr>
          <w:p w:rsidR="006236DF" w:rsidRPr="0048008E" w:rsidRDefault="006236DF" w:rsidP="001C617E">
            <w:pPr>
              <w:ind w:right="45"/>
              <w:rPr>
                <w:sz w:val="28"/>
                <w:szCs w:val="28"/>
              </w:rPr>
            </w:pPr>
          </w:p>
          <w:p w:rsidR="006236DF" w:rsidRPr="0048008E" w:rsidRDefault="006236DF" w:rsidP="001C617E">
            <w:pPr>
              <w:ind w:right="45"/>
              <w:rPr>
                <w:sz w:val="28"/>
                <w:szCs w:val="28"/>
              </w:rPr>
            </w:pPr>
            <w:r w:rsidRPr="0048008E">
              <w:rPr>
                <w:sz w:val="28"/>
                <w:szCs w:val="28"/>
              </w:rPr>
              <w:t>Инспектор Контрольно-счетной палаты</w:t>
            </w:r>
          </w:p>
        </w:tc>
        <w:tc>
          <w:tcPr>
            <w:tcW w:w="1801" w:type="dxa"/>
            <w:tcBorders>
              <w:bottom w:val="single" w:sz="4" w:space="0" w:color="999999"/>
            </w:tcBorders>
          </w:tcPr>
          <w:p w:rsidR="006236DF" w:rsidRPr="0048008E" w:rsidRDefault="006236DF" w:rsidP="001C617E">
            <w:pPr>
              <w:ind w:right="45"/>
              <w:jc w:val="both"/>
              <w:rPr>
                <w:sz w:val="28"/>
                <w:szCs w:val="28"/>
              </w:rPr>
            </w:pPr>
          </w:p>
          <w:p w:rsidR="006236DF" w:rsidRPr="0048008E" w:rsidRDefault="006236DF" w:rsidP="001C617E">
            <w:pPr>
              <w:ind w:right="45"/>
              <w:jc w:val="both"/>
              <w:rPr>
                <w:sz w:val="28"/>
                <w:szCs w:val="28"/>
              </w:rPr>
            </w:pPr>
            <w:r w:rsidRPr="0048008E">
              <w:rPr>
                <w:sz w:val="28"/>
                <w:szCs w:val="28"/>
              </w:rPr>
              <w:t>___________</w:t>
            </w:r>
          </w:p>
        </w:tc>
        <w:tc>
          <w:tcPr>
            <w:tcW w:w="2102" w:type="dxa"/>
          </w:tcPr>
          <w:p w:rsidR="006236DF" w:rsidRPr="0048008E" w:rsidRDefault="006236DF" w:rsidP="001C617E">
            <w:pPr>
              <w:rPr>
                <w:sz w:val="28"/>
                <w:szCs w:val="28"/>
              </w:rPr>
            </w:pPr>
          </w:p>
          <w:p w:rsidR="006236DF" w:rsidRPr="00CC2AA9" w:rsidRDefault="006236DF" w:rsidP="001C617E">
            <w:pPr>
              <w:rPr>
                <w:sz w:val="28"/>
                <w:szCs w:val="28"/>
              </w:rPr>
            </w:pPr>
            <w:r w:rsidRPr="0048008E">
              <w:rPr>
                <w:sz w:val="28"/>
                <w:szCs w:val="28"/>
              </w:rPr>
              <w:t>Г.А.Пегова</w:t>
            </w:r>
          </w:p>
        </w:tc>
      </w:tr>
    </w:tbl>
    <w:p w:rsidR="006236DF" w:rsidRDefault="006236DF" w:rsidP="000624D5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36DF" w:rsidRDefault="006236DF" w:rsidP="00197B19">
      <w:pPr>
        <w:jc w:val="both"/>
      </w:pPr>
      <w:r w:rsidRPr="00B047B8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6236DF" w:rsidRDefault="006236DF"/>
    <w:sectPr w:rsidR="006236DF" w:rsidSect="001E45CF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6DF" w:rsidRDefault="006236DF" w:rsidP="00B84C27">
      <w:r>
        <w:separator/>
      </w:r>
    </w:p>
  </w:endnote>
  <w:endnote w:type="continuationSeparator" w:id="1">
    <w:p w:rsidR="006236DF" w:rsidRDefault="006236DF" w:rsidP="00B84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DF" w:rsidRDefault="006236DF" w:rsidP="0083503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36DF" w:rsidRDefault="006236DF" w:rsidP="0083503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6DF" w:rsidRDefault="006236DF" w:rsidP="00B84C27">
      <w:r>
        <w:separator/>
      </w:r>
    </w:p>
  </w:footnote>
  <w:footnote w:type="continuationSeparator" w:id="1">
    <w:p w:rsidR="006236DF" w:rsidRDefault="006236DF" w:rsidP="00B84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4D5"/>
    <w:rsid w:val="000023FF"/>
    <w:rsid w:val="000234E1"/>
    <w:rsid w:val="00047209"/>
    <w:rsid w:val="00055166"/>
    <w:rsid w:val="000624D5"/>
    <w:rsid w:val="000727AF"/>
    <w:rsid w:val="00073ABC"/>
    <w:rsid w:val="000E1F74"/>
    <w:rsid w:val="00107A16"/>
    <w:rsid w:val="001157F7"/>
    <w:rsid w:val="00146C5A"/>
    <w:rsid w:val="00197B19"/>
    <w:rsid w:val="001A28C0"/>
    <w:rsid w:val="001C290A"/>
    <w:rsid w:val="001C617E"/>
    <w:rsid w:val="001E45CF"/>
    <w:rsid w:val="00227679"/>
    <w:rsid w:val="002501C6"/>
    <w:rsid w:val="00274B22"/>
    <w:rsid w:val="00295CCF"/>
    <w:rsid w:val="002B4D12"/>
    <w:rsid w:val="00315183"/>
    <w:rsid w:val="0037697F"/>
    <w:rsid w:val="00394BC6"/>
    <w:rsid w:val="003C09BC"/>
    <w:rsid w:val="003C246F"/>
    <w:rsid w:val="003C6A8B"/>
    <w:rsid w:val="003D5D45"/>
    <w:rsid w:val="00407028"/>
    <w:rsid w:val="00427E4D"/>
    <w:rsid w:val="0043338E"/>
    <w:rsid w:val="0048008E"/>
    <w:rsid w:val="004D65D1"/>
    <w:rsid w:val="00517ABA"/>
    <w:rsid w:val="00530738"/>
    <w:rsid w:val="005321C5"/>
    <w:rsid w:val="005431E4"/>
    <w:rsid w:val="00562D89"/>
    <w:rsid w:val="005A3A54"/>
    <w:rsid w:val="005C17F8"/>
    <w:rsid w:val="005F3676"/>
    <w:rsid w:val="006236DF"/>
    <w:rsid w:val="006307D7"/>
    <w:rsid w:val="00645703"/>
    <w:rsid w:val="006722B3"/>
    <w:rsid w:val="0068080F"/>
    <w:rsid w:val="006B3D8B"/>
    <w:rsid w:val="006E4E33"/>
    <w:rsid w:val="00710B69"/>
    <w:rsid w:val="00717141"/>
    <w:rsid w:val="007C6F12"/>
    <w:rsid w:val="0083503D"/>
    <w:rsid w:val="008E2FDF"/>
    <w:rsid w:val="008F0A07"/>
    <w:rsid w:val="009119BB"/>
    <w:rsid w:val="00927B0E"/>
    <w:rsid w:val="0095468D"/>
    <w:rsid w:val="0097736C"/>
    <w:rsid w:val="009B5E2E"/>
    <w:rsid w:val="00A3473A"/>
    <w:rsid w:val="00A57404"/>
    <w:rsid w:val="00A8761A"/>
    <w:rsid w:val="00A93C25"/>
    <w:rsid w:val="00AA3B44"/>
    <w:rsid w:val="00AB3826"/>
    <w:rsid w:val="00AF0A54"/>
    <w:rsid w:val="00AF43AA"/>
    <w:rsid w:val="00B047B8"/>
    <w:rsid w:val="00B12056"/>
    <w:rsid w:val="00B12EF6"/>
    <w:rsid w:val="00B42447"/>
    <w:rsid w:val="00B73485"/>
    <w:rsid w:val="00B84C27"/>
    <w:rsid w:val="00BB1C44"/>
    <w:rsid w:val="00BB221A"/>
    <w:rsid w:val="00BC70E6"/>
    <w:rsid w:val="00C32579"/>
    <w:rsid w:val="00C44C2D"/>
    <w:rsid w:val="00C80CF1"/>
    <w:rsid w:val="00C90E3D"/>
    <w:rsid w:val="00CC2AA9"/>
    <w:rsid w:val="00D02F6C"/>
    <w:rsid w:val="00D25316"/>
    <w:rsid w:val="00D316CE"/>
    <w:rsid w:val="00D40223"/>
    <w:rsid w:val="00D73F04"/>
    <w:rsid w:val="00D93566"/>
    <w:rsid w:val="00DA1916"/>
    <w:rsid w:val="00DB1314"/>
    <w:rsid w:val="00DD4B91"/>
    <w:rsid w:val="00DF301A"/>
    <w:rsid w:val="00E02D12"/>
    <w:rsid w:val="00E06474"/>
    <w:rsid w:val="00E24E89"/>
    <w:rsid w:val="00E636A5"/>
    <w:rsid w:val="00E74840"/>
    <w:rsid w:val="00E9456A"/>
    <w:rsid w:val="00EB5B91"/>
    <w:rsid w:val="00ED3F43"/>
    <w:rsid w:val="00EF332B"/>
    <w:rsid w:val="00F02A9F"/>
    <w:rsid w:val="00F1721C"/>
    <w:rsid w:val="00F65872"/>
    <w:rsid w:val="00F67EB2"/>
    <w:rsid w:val="00F70355"/>
    <w:rsid w:val="00FF076E"/>
    <w:rsid w:val="00FF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624D5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0624D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24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4D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624D5"/>
  </w:style>
  <w:style w:type="character" w:styleId="Strong">
    <w:name w:val="Strong"/>
    <w:basedOn w:val="DefaultParagraphFont"/>
    <w:uiPriority w:val="99"/>
    <w:qFormat/>
    <w:rsid w:val="000624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62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D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27E4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287</TotalTime>
  <Pages>6</Pages>
  <Words>2175</Words>
  <Characters>12399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654654</dc:creator>
  <cp:keywords/>
  <dc:description/>
  <cp:lastModifiedBy>Василий Семенович</cp:lastModifiedBy>
  <cp:revision>37</cp:revision>
  <cp:lastPrinted>2020-05-25T08:37:00Z</cp:lastPrinted>
  <dcterms:created xsi:type="dcterms:W3CDTF">2020-04-06T04:58:00Z</dcterms:created>
  <dcterms:modified xsi:type="dcterms:W3CDTF">2020-05-28T07:05:00Z</dcterms:modified>
</cp:coreProperties>
</file>